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4E" w:rsidRPr="00B7204E" w:rsidRDefault="00391DFD" w:rsidP="00B7204E">
      <w:pPr>
        <w:ind w:left="-1440"/>
        <w:rPr>
          <w:b/>
          <w:color w:val="0F243E" w:themeColor="text2" w:themeShade="80"/>
        </w:rPr>
      </w:pPr>
      <w:r>
        <w:rPr>
          <w:noProof/>
        </w:rPr>
        <w:drawing>
          <wp:anchor distT="0" distB="0" distL="114300" distR="114300" simplePos="0" relativeHeight="251658240" behindDoc="0" locked="0" layoutInCell="1" allowOverlap="1">
            <wp:simplePos x="0" y="0"/>
            <wp:positionH relativeFrom="margin">
              <wp:posOffset>95250</wp:posOffset>
            </wp:positionH>
            <wp:positionV relativeFrom="margin">
              <wp:posOffset>31750</wp:posOffset>
            </wp:positionV>
            <wp:extent cx="2105025" cy="1056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s_to_Employment_T-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5025" cy="1056005"/>
                    </a:xfrm>
                    <a:prstGeom prst="rect">
                      <a:avLst/>
                    </a:prstGeom>
                  </pic:spPr>
                </pic:pic>
              </a:graphicData>
            </a:graphic>
          </wp:anchor>
        </w:drawing>
      </w:r>
      <w:r w:rsidR="004C22D0" w:rsidRPr="00B7204E">
        <w:rPr>
          <w:b/>
          <w:color w:val="0F243E" w:themeColor="text2" w:themeShade="80"/>
          <w:sz w:val="28"/>
          <w:szCs w:val="28"/>
        </w:rPr>
        <w:t>Pathways to Employment (PTE)</w:t>
      </w:r>
      <w:r w:rsidR="00074298" w:rsidRPr="00B7204E">
        <w:rPr>
          <w:color w:val="0F243E" w:themeColor="text2" w:themeShade="80"/>
          <w:szCs w:val="28"/>
        </w:rPr>
        <w:t xml:space="preserve">, </w:t>
      </w:r>
      <w:r w:rsidRPr="00B7204E">
        <w:rPr>
          <w:color w:val="0F243E" w:themeColor="text2" w:themeShade="80"/>
          <w:szCs w:val="28"/>
        </w:rPr>
        <w:br/>
      </w:r>
      <w:r w:rsidR="00074298" w:rsidRPr="00B7204E">
        <w:rPr>
          <w:b/>
          <w:color w:val="0F243E" w:themeColor="text2" w:themeShade="80"/>
          <w:szCs w:val="28"/>
        </w:rPr>
        <w:t>a federal Medicaid Infrastructure Grant</w:t>
      </w:r>
      <w:r w:rsidRPr="00B7204E">
        <w:rPr>
          <w:b/>
          <w:color w:val="0F243E" w:themeColor="text2" w:themeShade="80"/>
          <w:szCs w:val="28"/>
        </w:rPr>
        <w:t>,</w:t>
      </w:r>
      <w:r w:rsidR="004C22D0" w:rsidRPr="00B7204E">
        <w:rPr>
          <w:b/>
          <w:color w:val="0F243E" w:themeColor="text2" w:themeShade="80"/>
          <w:sz w:val="22"/>
        </w:rPr>
        <w:t xml:space="preserve"> </w:t>
      </w:r>
      <w:r w:rsidR="004C22D0" w:rsidRPr="00B7204E">
        <w:rPr>
          <w:b/>
          <w:color w:val="0F243E" w:themeColor="text2" w:themeShade="80"/>
        </w:rPr>
        <w:t xml:space="preserve">brought together people with disabilities, employers, businesses, government, and providers to increase competitive employment of people with disabilities and to meet Minnesota’s workforce needs.  </w:t>
      </w:r>
    </w:p>
    <w:p w:rsidR="00B7204E" w:rsidRDefault="00B7204E" w:rsidP="004C22D0">
      <w:pPr>
        <w:rPr>
          <w:color w:val="0F243E" w:themeColor="text2" w:themeShade="80"/>
        </w:rPr>
      </w:pPr>
    </w:p>
    <w:p w:rsidR="004C22D0" w:rsidRDefault="00F6241F" w:rsidP="004C22D0">
      <w:pPr>
        <w:rPr>
          <w:color w:val="0F243E" w:themeColor="text2" w:themeShade="80"/>
        </w:rPr>
      </w:pPr>
      <w:r w:rsidRPr="00B7204E">
        <w:rPr>
          <w:color w:val="0F243E" w:themeColor="text2" w:themeShade="80"/>
        </w:rPr>
        <w:t>Competitive employment is centerpiece of a quality life style.  It provides positive identity, a meaningful place in community, and an adequate standard of living that allows for more than subsistence level survival.  It incorporates personal choice, self-direction, and inclusiveness – all important policy goals for Minnesota.</w:t>
      </w:r>
    </w:p>
    <w:p w:rsidR="00B7204E" w:rsidRPr="00B7204E" w:rsidRDefault="00B7204E" w:rsidP="004C22D0">
      <w:pPr>
        <w:rPr>
          <w:color w:val="0F243E" w:themeColor="text2" w:themeShade="80"/>
        </w:rPr>
      </w:pPr>
    </w:p>
    <w:p w:rsidR="004C22D0" w:rsidRDefault="00B7204E" w:rsidP="004C22D0">
      <w:pPr>
        <w:rPr>
          <w:color w:val="0F243E" w:themeColor="text2" w:themeShade="80"/>
        </w:rPr>
      </w:pPr>
      <w:r>
        <w:rPr>
          <w:color w:val="0F243E" w:themeColor="text2" w:themeShade="80"/>
        </w:rPr>
        <w:t>To accomplish this goal, t</w:t>
      </w:r>
      <w:r w:rsidR="004C22D0" w:rsidRPr="00B7204E">
        <w:rPr>
          <w:color w:val="0F243E" w:themeColor="text2" w:themeShade="80"/>
        </w:rPr>
        <w:t>he PTE grant addressed systemic change in two very different, but complex, systems—</w:t>
      </w:r>
      <w:r w:rsidR="004C22D0" w:rsidRPr="00B7204E">
        <w:rPr>
          <w:b/>
          <w:color w:val="0F243E" w:themeColor="text2" w:themeShade="80"/>
        </w:rPr>
        <w:t>employment and disabilit</w:t>
      </w:r>
      <w:r w:rsidR="00074298" w:rsidRPr="00B7204E">
        <w:rPr>
          <w:b/>
          <w:color w:val="0F243E" w:themeColor="text2" w:themeShade="80"/>
        </w:rPr>
        <w:t>y</w:t>
      </w:r>
      <w:r w:rsidR="004C22D0" w:rsidRPr="00B7204E">
        <w:rPr>
          <w:b/>
          <w:color w:val="0F243E" w:themeColor="text2" w:themeShade="80"/>
        </w:rPr>
        <w:t xml:space="preserve"> services</w:t>
      </w:r>
      <w:r w:rsidR="004C22D0" w:rsidRPr="00B7204E">
        <w:rPr>
          <w:color w:val="0F243E" w:themeColor="text2" w:themeShade="80"/>
        </w:rPr>
        <w:t>.  The project team used a variety of innovative tactics to initiate systemic change,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7038"/>
      </w:tblGrid>
      <w:tr w:rsidR="00B7204E" w:rsidRPr="00B7204E" w:rsidTr="00B7204E">
        <w:tc>
          <w:tcPr>
            <w:tcW w:w="2538" w:type="dxa"/>
          </w:tcPr>
          <w:p w:rsidR="00B7204E" w:rsidRPr="00B7204E" w:rsidRDefault="00B7204E" w:rsidP="00B7204E">
            <w:pPr>
              <w:pStyle w:val="body"/>
              <w:rPr>
                <w:szCs w:val="24"/>
              </w:rPr>
            </w:pPr>
            <w:bookmarkStart w:id="0" w:name="_GoBack"/>
            <w:bookmarkEnd w:id="0"/>
            <w:r w:rsidRPr="00B7204E">
              <w:rPr>
                <w:szCs w:val="24"/>
              </w:rPr>
              <w:t>Adaptive Action Step 1:</w:t>
            </w:r>
          </w:p>
          <w:p w:rsidR="00B7204E" w:rsidRPr="00B7204E" w:rsidRDefault="00B7204E" w:rsidP="00B7204E">
            <w:pPr>
              <w:pStyle w:val="body"/>
              <w:rPr>
                <w:szCs w:val="24"/>
              </w:rPr>
            </w:pPr>
            <w:r w:rsidRPr="00B7204E">
              <w:rPr>
                <w:szCs w:val="24"/>
              </w:rPr>
              <w:t>What?</w:t>
            </w:r>
          </w:p>
        </w:tc>
        <w:tc>
          <w:tcPr>
            <w:tcW w:w="7038" w:type="dxa"/>
          </w:tcPr>
          <w:p w:rsidR="00B7204E" w:rsidRPr="00B7204E" w:rsidRDefault="00B7204E" w:rsidP="00B7204E">
            <w:pPr>
              <w:pStyle w:val="body"/>
              <w:rPr>
                <w:szCs w:val="24"/>
              </w:rPr>
            </w:pPr>
            <w:r w:rsidRPr="00B7204E">
              <w:rPr>
                <w:szCs w:val="24"/>
              </w:rPr>
              <w:t xml:space="preserve">Align diverse activities with a simple strategic plan </w:t>
            </w:r>
          </w:p>
          <w:p w:rsidR="001A61C2" w:rsidRDefault="00B7204E" w:rsidP="00DB516C">
            <w:pPr>
              <w:pStyle w:val="body"/>
              <w:rPr>
                <w:szCs w:val="24"/>
              </w:rPr>
            </w:pPr>
            <w:r w:rsidRPr="00B7204E">
              <w:rPr>
                <w:szCs w:val="24"/>
              </w:rPr>
              <w:t xml:space="preserve">Encourage innovation by imposing only essential constraints </w:t>
            </w:r>
          </w:p>
          <w:p w:rsidR="00B7204E" w:rsidRPr="00B7204E" w:rsidRDefault="00B7204E" w:rsidP="00DB516C">
            <w:pPr>
              <w:pStyle w:val="body"/>
              <w:rPr>
                <w:szCs w:val="24"/>
              </w:rPr>
            </w:pPr>
            <w:r w:rsidRPr="00B7204E">
              <w:rPr>
                <w:szCs w:val="24"/>
              </w:rPr>
              <w:t>Use existing infrastructure as a starting point for innovation</w:t>
            </w:r>
          </w:p>
        </w:tc>
      </w:tr>
      <w:tr w:rsidR="00B7204E" w:rsidRPr="00B7204E" w:rsidTr="00B7204E">
        <w:tc>
          <w:tcPr>
            <w:tcW w:w="2538" w:type="dxa"/>
          </w:tcPr>
          <w:p w:rsidR="00B7204E" w:rsidRPr="00B7204E" w:rsidRDefault="00B7204E" w:rsidP="00B7204E">
            <w:pPr>
              <w:pStyle w:val="body"/>
              <w:rPr>
                <w:szCs w:val="24"/>
              </w:rPr>
            </w:pPr>
            <w:r w:rsidRPr="00B7204E">
              <w:rPr>
                <w:szCs w:val="24"/>
              </w:rPr>
              <w:t>Adaptive Action Step 2:</w:t>
            </w:r>
          </w:p>
          <w:p w:rsidR="00B7204E" w:rsidRPr="00B7204E" w:rsidRDefault="00B7204E" w:rsidP="00B7204E">
            <w:pPr>
              <w:pStyle w:val="body"/>
              <w:rPr>
                <w:szCs w:val="24"/>
              </w:rPr>
            </w:pPr>
            <w:r w:rsidRPr="00B7204E">
              <w:rPr>
                <w:szCs w:val="24"/>
              </w:rPr>
              <w:t>So what?</w:t>
            </w:r>
          </w:p>
        </w:tc>
        <w:tc>
          <w:tcPr>
            <w:tcW w:w="7038" w:type="dxa"/>
          </w:tcPr>
          <w:p w:rsidR="00B7204E" w:rsidRPr="00B7204E" w:rsidRDefault="00B7204E" w:rsidP="00B7204E">
            <w:pPr>
              <w:pStyle w:val="body"/>
              <w:rPr>
                <w:szCs w:val="24"/>
              </w:rPr>
            </w:pPr>
            <w:r w:rsidRPr="00B7204E">
              <w:rPr>
                <w:szCs w:val="24"/>
              </w:rPr>
              <w:t xml:space="preserve">Adapt to unexpected opportunities when they emerge </w:t>
            </w:r>
          </w:p>
          <w:p w:rsidR="00B7204E" w:rsidRPr="00B7204E" w:rsidRDefault="00B7204E" w:rsidP="00B7204E">
            <w:pPr>
              <w:pStyle w:val="body"/>
              <w:rPr>
                <w:szCs w:val="24"/>
              </w:rPr>
            </w:pPr>
            <w:r w:rsidRPr="00B7204E">
              <w:rPr>
                <w:szCs w:val="24"/>
              </w:rPr>
              <w:t>Draw on multiple funding sources to support a single vision</w:t>
            </w:r>
          </w:p>
          <w:p w:rsidR="00C81CAB" w:rsidRPr="00B7204E" w:rsidRDefault="00B7204E" w:rsidP="00DB516C">
            <w:pPr>
              <w:pStyle w:val="body"/>
              <w:rPr>
                <w:szCs w:val="24"/>
              </w:rPr>
            </w:pPr>
            <w:r w:rsidRPr="00B7204E">
              <w:rPr>
                <w:szCs w:val="24"/>
              </w:rPr>
              <w:t>Adjust to different organizational structures and cultures</w:t>
            </w:r>
          </w:p>
        </w:tc>
      </w:tr>
      <w:tr w:rsidR="00B7204E" w:rsidRPr="00B7204E" w:rsidTr="00B7204E">
        <w:tc>
          <w:tcPr>
            <w:tcW w:w="2538" w:type="dxa"/>
          </w:tcPr>
          <w:p w:rsidR="00B7204E" w:rsidRPr="00B7204E" w:rsidRDefault="00B7204E" w:rsidP="00B7204E">
            <w:pPr>
              <w:pStyle w:val="body"/>
              <w:rPr>
                <w:szCs w:val="24"/>
              </w:rPr>
            </w:pPr>
            <w:r w:rsidRPr="00B7204E">
              <w:rPr>
                <w:szCs w:val="24"/>
              </w:rPr>
              <w:t>Adaptive Action Step 3:</w:t>
            </w:r>
          </w:p>
          <w:p w:rsidR="00B7204E" w:rsidRPr="00B7204E" w:rsidRDefault="00B7204E" w:rsidP="00B7204E">
            <w:pPr>
              <w:pStyle w:val="body"/>
              <w:rPr>
                <w:szCs w:val="24"/>
              </w:rPr>
            </w:pPr>
            <w:r w:rsidRPr="00B7204E">
              <w:rPr>
                <w:szCs w:val="24"/>
              </w:rPr>
              <w:t>Now what?</w:t>
            </w:r>
          </w:p>
        </w:tc>
        <w:tc>
          <w:tcPr>
            <w:tcW w:w="7038" w:type="dxa"/>
          </w:tcPr>
          <w:p w:rsidR="00B7204E" w:rsidRPr="00B7204E" w:rsidRDefault="00B7204E" w:rsidP="00B7204E">
            <w:pPr>
              <w:pStyle w:val="body"/>
              <w:rPr>
                <w:szCs w:val="24"/>
              </w:rPr>
            </w:pPr>
            <w:r w:rsidRPr="00B7204E">
              <w:rPr>
                <w:szCs w:val="24"/>
              </w:rPr>
              <w:t>Invest in networks for information and collaboration</w:t>
            </w:r>
          </w:p>
          <w:p w:rsidR="00B7204E" w:rsidRPr="00B7204E" w:rsidRDefault="00B7204E" w:rsidP="00B7204E">
            <w:pPr>
              <w:pStyle w:val="body"/>
              <w:rPr>
                <w:szCs w:val="24"/>
              </w:rPr>
            </w:pPr>
            <w:r w:rsidRPr="00B7204E">
              <w:rPr>
                <w:szCs w:val="24"/>
              </w:rPr>
              <w:t>Develop &amp; implement electronic communications</w:t>
            </w:r>
          </w:p>
          <w:p w:rsidR="00B7204E" w:rsidRPr="00B7204E" w:rsidRDefault="00B7204E" w:rsidP="00B7204E">
            <w:pPr>
              <w:pStyle w:val="body"/>
              <w:rPr>
                <w:szCs w:val="24"/>
              </w:rPr>
            </w:pPr>
            <w:r w:rsidRPr="00B7204E">
              <w:rPr>
                <w:szCs w:val="24"/>
              </w:rPr>
              <w:t xml:space="preserve">Focus on systemic change, not the project </w:t>
            </w:r>
          </w:p>
          <w:p w:rsidR="00B7204E" w:rsidRPr="00B7204E" w:rsidRDefault="00B7204E" w:rsidP="00B7204E">
            <w:pPr>
              <w:pStyle w:val="body"/>
              <w:rPr>
                <w:szCs w:val="24"/>
              </w:rPr>
            </w:pPr>
          </w:p>
        </w:tc>
      </w:tr>
    </w:tbl>
    <w:p w:rsidR="00391DFD" w:rsidRPr="00B7204E" w:rsidRDefault="004C22D0" w:rsidP="00B7204E">
      <w:pPr>
        <w:pStyle w:val="body"/>
      </w:pPr>
      <w:r w:rsidRPr="00B7204E">
        <w:t xml:space="preserve">These tactics, though </w:t>
      </w:r>
      <w:r w:rsidR="00C81CAB">
        <w:t xml:space="preserve">somewhat </w:t>
      </w:r>
      <w:r w:rsidRPr="00B7204E">
        <w:t>unconventional, were necessary for PTE to work at the intersections of sectors, agencies, levels of government to create new pathways to competitive employment of people with disabilities.   PTE supported many distinct activities and initiatives, all focused on six strategies in the original plan.  Four overarching systemic impacts resulted from the work of PTE that will embed and sustain the paradigm shift initiated by the program</w:t>
      </w:r>
      <w:r w:rsidR="002331F7" w:rsidRPr="00B7204E">
        <w:t>:</w:t>
      </w:r>
      <w:r w:rsidRPr="00B7204E">
        <w:t xml:space="preserve">  </w:t>
      </w:r>
    </w:p>
    <w:p w:rsidR="00C81CAB" w:rsidRPr="00C81CAB" w:rsidRDefault="00C81CAB" w:rsidP="00B7204E">
      <w:pPr>
        <w:pStyle w:val="body"/>
        <w:numPr>
          <w:ilvl w:val="0"/>
          <w:numId w:val="5"/>
        </w:numPr>
      </w:pPr>
      <w:r w:rsidRPr="00C81CAB">
        <w:t>Information access</w:t>
      </w:r>
      <w:r>
        <w:t xml:space="preserve"> and assessment—DB101, Disability Linkage Line, and </w:t>
      </w:r>
      <w:proofErr w:type="spellStart"/>
      <w:r>
        <w:t>MnCHOICES</w:t>
      </w:r>
      <w:proofErr w:type="spellEnd"/>
      <w:r>
        <w:t xml:space="preserve"> inform and encourage competitive employment. </w:t>
      </w:r>
    </w:p>
    <w:p w:rsidR="00C81CAB" w:rsidRPr="00C81CAB" w:rsidRDefault="00C81CAB" w:rsidP="00B7204E">
      <w:pPr>
        <w:pStyle w:val="body"/>
        <w:numPr>
          <w:ilvl w:val="0"/>
          <w:numId w:val="5"/>
        </w:numPr>
      </w:pPr>
      <w:r w:rsidRPr="00C81CAB">
        <w:t>Career development</w:t>
      </w:r>
      <w:r>
        <w:t xml:space="preserve">—schools and </w:t>
      </w:r>
      <w:proofErr w:type="spellStart"/>
      <w:r>
        <w:t>WorkForce</w:t>
      </w:r>
      <w:proofErr w:type="spellEnd"/>
      <w:r>
        <w:t xml:space="preserve"> Centers offer information and support for people with disabilities as they seek and retain competitive employment</w:t>
      </w:r>
    </w:p>
    <w:p w:rsidR="00C81CAB" w:rsidRPr="00C81CAB" w:rsidRDefault="00C81CAB" w:rsidP="00B7204E">
      <w:pPr>
        <w:pStyle w:val="body"/>
        <w:numPr>
          <w:ilvl w:val="0"/>
          <w:numId w:val="5"/>
        </w:numPr>
      </w:pPr>
      <w:r w:rsidRPr="00C81CAB">
        <w:t>Employer engagement</w:t>
      </w:r>
      <w:r>
        <w:t>—PTE informs and supports employers.  DER provides information to private sector employers, and some public employers engage in State as a Model Employer (SME) program to build capacity and commitment.</w:t>
      </w:r>
    </w:p>
    <w:p w:rsidR="00C81CAB" w:rsidRDefault="00C81CAB" w:rsidP="00B7204E">
      <w:pPr>
        <w:pStyle w:val="body"/>
        <w:numPr>
          <w:ilvl w:val="0"/>
          <w:numId w:val="5"/>
        </w:numPr>
      </w:pPr>
      <w:r w:rsidRPr="00C81CAB">
        <w:t>Policy development</w:t>
      </w:r>
      <w:r>
        <w:t xml:space="preserve">—health care, education, transportation, and housing policy, as well as policy regarding employment and disabilities, shift perceptions and practices to support competitive employment.  </w:t>
      </w:r>
    </w:p>
    <w:p w:rsidR="001A61C2" w:rsidRDefault="001A61C2" w:rsidP="001A61C2">
      <w:pPr>
        <w:pStyle w:val="body"/>
      </w:pPr>
    </w:p>
    <w:p w:rsidR="001A61C2" w:rsidRPr="001A61C2" w:rsidRDefault="001A61C2" w:rsidP="001A61C2">
      <w:pPr>
        <w:pStyle w:val="body"/>
      </w:pPr>
      <w:r>
        <w:t>PTE partners will support sustainability and leverage the investment through: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8"/>
        <w:gridCol w:w="5208"/>
      </w:tblGrid>
      <w:tr w:rsidR="00DB516C" w:rsidRPr="00DB516C" w:rsidTr="0086493A">
        <w:tc>
          <w:tcPr>
            <w:tcW w:w="4368" w:type="dxa"/>
          </w:tcPr>
          <w:p w:rsidR="00DB516C" w:rsidRPr="00DB516C" w:rsidRDefault="00DB516C" w:rsidP="0086493A">
            <w:pPr>
              <w:pStyle w:val="body"/>
              <w:jc w:val="right"/>
              <w:rPr>
                <w:szCs w:val="24"/>
              </w:rPr>
            </w:pPr>
            <w:r w:rsidRPr="00DB516C">
              <w:rPr>
                <w:szCs w:val="24"/>
              </w:rPr>
              <w:t>Communications</w:t>
            </w:r>
          </w:p>
        </w:tc>
        <w:tc>
          <w:tcPr>
            <w:tcW w:w="5208" w:type="dxa"/>
          </w:tcPr>
          <w:p w:rsidR="00DB516C" w:rsidRPr="00DB516C" w:rsidRDefault="00DB516C" w:rsidP="00D40690">
            <w:pPr>
              <w:pStyle w:val="body"/>
              <w:rPr>
                <w:szCs w:val="24"/>
              </w:rPr>
            </w:pPr>
            <w:r w:rsidRPr="00DB516C">
              <w:rPr>
                <w:szCs w:val="24"/>
              </w:rPr>
              <w:t xml:space="preserve">Keep the competitive employment message alive </w:t>
            </w:r>
          </w:p>
        </w:tc>
      </w:tr>
      <w:tr w:rsidR="00DB516C" w:rsidRPr="00DB516C" w:rsidTr="0086493A">
        <w:trPr>
          <w:trHeight w:val="70"/>
        </w:trPr>
        <w:tc>
          <w:tcPr>
            <w:tcW w:w="4368" w:type="dxa"/>
          </w:tcPr>
          <w:p w:rsidR="00DB516C" w:rsidRPr="00DB516C" w:rsidRDefault="00DB516C" w:rsidP="00DB516C">
            <w:pPr>
              <w:pStyle w:val="body"/>
              <w:jc w:val="right"/>
              <w:rPr>
                <w:szCs w:val="24"/>
              </w:rPr>
            </w:pPr>
            <w:r w:rsidRPr="00DB516C">
              <w:rPr>
                <w:szCs w:val="24"/>
              </w:rPr>
              <w:t>Collaborations</w:t>
            </w:r>
          </w:p>
        </w:tc>
        <w:tc>
          <w:tcPr>
            <w:tcW w:w="5208" w:type="dxa"/>
          </w:tcPr>
          <w:p w:rsidR="00DB516C" w:rsidRPr="00DB516C" w:rsidRDefault="00DB516C" w:rsidP="00DB516C">
            <w:pPr>
              <w:rPr>
                <w:szCs w:val="24"/>
              </w:rPr>
            </w:pPr>
            <w:r w:rsidRPr="00DB516C">
              <w:rPr>
                <w:color w:val="0F243E" w:themeColor="text2" w:themeShade="80"/>
                <w:szCs w:val="24"/>
              </w:rPr>
              <w:t>Maintain productive relationships</w:t>
            </w:r>
          </w:p>
        </w:tc>
      </w:tr>
      <w:tr w:rsidR="00DB516C" w:rsidRPr="00DB516C" w:rsidTr="0086493A">
        <w:tc>
          <w:tcPr>
            <w:tcW w:w="4368" w:type="dxa"/>
          </w:tcPr>
          <w:p w:rsidR="00DB516C" w:rsidRPr="00DB516C" w:rsidRDefault="00DB516C" w:rsidP="00DB516C">
            <w:pPr>
              <w:jc w:val="right"/>
              <w:rPr>
                <w:szCs w:val="24"/>
              </w:rPr>
            </w:pPr>
            <w:r w:rsidRPr="00DB516C">
              <w:rPr>
                <w:color w:val="0F243E" w:themeColor="text2" w:themeShade="80"/>
                <w:szCs w:val="24"/>
              </w:rPr>
              <w:t>Measurement  &amp; Continuous Improvement</w:t>
            </w:r>
          </w:p>
        </w:tc>
        <w:tc>
          <w:tcPr>
            <w:tcW w:w="5208" w:type="dxa"/>
          </w:tcPr>
          <w:p w:rsidR="00DB516C" w:rsidRPr="00DB516C" w:rsidRDefault="00DB516C" w:rsidP="00DB516C">
            <w:pPr>
              <w:rPr>
                <w:szCs w:val="24"/>
              </w:rPr>
            </w:pPr>
            <w:r w:rsidRPr="00DB516C">
              <w:rPr>
                <w:color w:val="0F243E" w:themeColor="text2" w:themeShade="80"/>
                <w:szCs w:val="24"/>
              </w:rPr>
              <w:t>Engage in adaptive action (observe, decide, and act)</w:t>
            </w:r>
          </w:p>
        </w:tc>
      </w:tr>
      <w:tr w:rsidR="00DB516C" w:rsidRPr="00DB516C" w:rsidTr="0086493A">
        <w:tc>
          <w:tcPr>
            <w:tcW w:w="4368" w:type="dxa"/>
          </w:tcPr>
          <w:p w:rsidR="00DB516C" w:rsidRPr="00DB516C" w:rsidRDefault="00DB516C" w:rsidP="00DB516C">
            <w:pPr>
              <w:jc w:val="right"/>
              <w:rPr>
                <w:color w:val="0F243E" w:themeColor="text2" w:themeShade="80"/>
                <w:szCs w:val="24"/>
              </w:rPr>
            </w:pPr>
            <w:r w:rsidRPr="00DB516C">
              <w:rPr>
                <w:color w:val="0F243E" w:themeColor="text2" w:themeShade="80"/>
                <w:szCs w:val="24"/>
              </w:rPr>
              <w:t>Policies, Procedures, Processes</w:t>
            </w:r>
          </w:p>
        </w:tc>
        <w:tc>
          <w:tcPr>
            <w:tcW w:w="5208" w:type="dxa"/>
          </w:tcPr>
          <w:p w:rsidR="00DB516C" w:rsidRPr="00DB516C" w:rsidRDefault="00DB516C" w:rsidP="00DB516C">
            <w:pPr>
              <w:rPr>
                <w:color w:val="0F243E" w:themeColor="text2" w:themeShade="80"/>
                <w:szCs w:val="24"/>
              </w:rPr>
            </w:pPr>
            <w:r w:rsidRPr="00DB516C">
              <w:rPr>
                <w:color w:val="0F243E" w:themeColor="text2" w:themeShade="80"/>
                <w:szCs w:val="24"/>
              </w:rPr>
              <w:t>Support competitive employment everywhere</w:t>
            </w:r>
          </w:p>
        </w:tc>
      </w:tr>
      <w:tr w:rsidR="00DB516C" w:rsidRPr="00DB516C" w:rsidTr="0086493A">
        <w:tc>
          <w:tcPr>
            <w:tcW w:w="4368" w:type="dxa"/>
          </w:tcPr>
          <w:p w:rsidR="00DB516C" w:rsidRPr="00DB516C" w:rsidRDefault="00DB516C" w:rsidP="00DB516C">
            <w:pPr>
              <w:jc w:val="right"/>
              <w:rPr>
                <w:color w:val="0F243E" w:themeColor="text2" w:themeShade="80"/>
                <w:szCs w:val="24"/>
              </w:rPr>
            </w:pPr>
            <w:r w:rsidRPr="00DB516C">
              <w:rPr>
                <w:color w:val="0F243E" w:themeColor="text2" w:themeShade="80"/>
                <w:szCs w:val="24"/>
              </w:rPr>
              <w:t>Resources</w:t>
            </w:r>
          </w:p>
        </w:tc>
        <w:tc>
          <w:tcPr>
            <w:tcW w:w="5208" w:type="dxa"/>
          </w:tcPr>
          <w:p w:rsidR="00DB516C" w:rsidRPr="00DB516C" w:rsidRDefault="00DB516C" w:rsidP="00DB516C">
            <w:pPr>
              <w:rPr>
                <w:color w:val="0F243E" w:themeColor="text2" w:themeShade="80"/>
                <w:szCs w:val="24"/>
              </w:rPr>
            </w:pPr>
            <w:r w:rsidRPr="00DB516C">
              <w:rPr>
                <w:color w:val="0F243E" w:themeColor="text2" w:themeShade="80"/>
                <w:szCs w:val="24"/>
              </w:rPr>
              <w:t>Think beyond the traditional boundaries</w:t>
            </w:r>
          </w:p>
        </w:tc>
      </w:tr>
      <w:tr w:rsidR="00DB516C" w:rsidRPr="00DB516C" w:rsidTr="0086493A">
        <w:tc>
          <w:tcPr>
            <w:tcW w:w="4368" w:type="dxa"/>
          </w:tcPr>
          <w:p w:rsidR="00DB516C" w:rsidRPr="00DB516C" w:rsidRDefault="00DB516C" w:rsidP="00DB516C">
            <w:pPr>
              <w:jc w:val="right"/>
              <w:rPr>
                <w:color w:val="0F243E" w:themeColor="text2" w:themeShade="80"/>
                <w:szCs w:val="24"/>
              </w:rPr>
            </w:pPr>
            <w:r w:rsidRPr="00DB516C">
              <w:rPr>
                <w:color w:val="0F243E" w:themeColor="text2" w:themeShade="80"/>
                <w:szCs w:val="24"/>
              </w:rPr>
              <w:t>Skills and Knowledge</w:t>
            </w:r>
          </w:p>
        </w:tc>
        <w:tc>
          <w:tcPr>
            <w:tcW w:w="5208" w:type="dxa"/>
          </w:tcPr>
          <w:p w:rsidR="00DB516C" w:rsidRPr="00DB516C" w:rsidRDefault="00DB516C" w:rsidP="00DB516C">
            <w:pPr>
              <w:rPr>
                <w:color w:val="0F243E" w:themeColor="text2" w:themeShade="80"/>
                <w:szCs w:val="24"/>
              </w:rPr>
            </w:pPr>
            <w:r w:rsidRPr="00DB516C">
              <w:rPr>
                <w:color w:val="0F243E" w:themeColor="text2" w:themeShade="80"/>
                <w:szCs w:val="24"/>
              </w:rPr>
              <w:t>Build capacity for self and others</w:t>
            </w:r>
          </w:p>
        </w:tc>
      </w:tr>
    </w:tbl>
    <w:p w:rsidR="00DB516C" w:rsidRDefault="00DB516C">
      <w:pPr>
        <w:rPr>
          <w:color w:val="0F243E" w:themeColor="text2" w:themeShade="80"/>
        </w:rPr>
      </w:pPr>
    </w:p>
    <w:p w:rsidR="00B0738F" w:rsidRPr="00B7204E" w:rsidRDefault="00DB516C">
      <w:pPr>
        <w:rPr>
          <w:color w:val="0F243E" w:themeColor="text2" w:themeShade="80"/>
        </w:rPr>
      </w:pPr>
      <w:r>
        <w:rPr>
          <w:color w:val="0F243E" w:themeColor="text2" w:themeShade="80"/>
        </w:rPr>
        <w:t>T</w:t>
      </w:r>
      <w:r w:rsidR="004C22D0" w:rsidRPr="00B7204E">
        <w:rPr>
          <w:color w:val="0F243E" w:themeColor="text2" w:themeShade="80"/>
        </w:rPr>
        <w:t>he PTE Systemic Review Leadership Overview provides a summary of the challenges, strategies, accomplishments, lessons learned, and opportunities for sustainability for PTE.  For more information about PTE and other aspects of this Systemic Review, contact</w:t>
      </w:r>
      <w:r>
        <w:rPr>
          <w:color w:val="0F243E" w:themeColor="text2" w:themeShade="80"/>
        </w:rPr>
        <w:t xml:space="preserve"> </w:t>
      </w:r>
      <w:hyperlink r:id="rId6" w:history="1">
        <w:r w:rsidRPr="00AB424F">
          <w:rPr>
            <w:rStyle w:val="Hyperlink"/>
          </w:rPr>
          <w:t>PTE.Public@state.mn.us</w:t>
        </w:r>
      </w:hyperlink>
      <w:r w:rsidR="004C22D0" w:rsidRPr="00B7204E">
        <w:rPr>
          <w:color w:val="0F243E" w:themeColor="text2" w:themeShade="80"/>
        </w:rPr>
        <w:t xml:space="preserve">.     </w:t>
      </w:r>
    </w:p>
    <w:sectPr w:rsidR="00B0738F" w:rsidRPr="00B7204E" w:rsidSect="00DB516C">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5C1"/>
    <w:multiLevelType w:val="hybridMultilevel"/>
    <w:tmpl w:val="FD2E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247B4"/>
    <w:multiLevelType w:val="hybridMultilevel"/>
    <w:tmpl w:val="1CC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300C5"/>
    <w:multiLevelType w:val="hybridMultilevel"/>
    <w:tmpl w:val="58AC5414"/>
    <w:lvl w:ilvl="0" w:tplc="0E0AFE88">
      <w:start w:val="1"/>
      <w:numFmt w:val="bullet"/>
      <w:lvlText w:val="•"/>
      <w:lvlJc w:val="left"/>
      <w:pPr>
        <w:tabs>
          <w:tab w:val="num" w:pos="720"/>
        </w:tabs>
        <w:ind w:left="720" w:hanging="360"/>
      </w:pPr>
      <w:rPr>
        <w:rFonts w:ascii="Arial" w:hAnsi="Arial" w:hint="default"/>
      </w:rPr>
    </w:lvl>
    <w:lvl w:ilvl="1" w:tplc="6928889A" w:tentative="1">
      <w:start w:val="1"/>
      <w:numFmt w:val="bullet"/>
      <w:lvlText w:val="•"/>
      <w:lvlJc w:val="left"/>
      <w:pPr>
        <w:tabs>
          <w:tab w:val="num" w:pos="1440"/>
        </w:tabs>
        <w:ind w:left="1440" w:hanging="360"/>
      </w:pPr>
      <w:rPr>
        <w:rFonts w:ascii="Arial" w:hAnsi="Arial" w:hint="default"/>
      </w:rPr>
    </w:lvl>
    <w:lvl w:ilvl="2" w:tplc="17E4000C" w:tentative="1">
      <w:start w:val="1"/>
      <w:numFmt w:val="bullet"/>
      <w:lvlText w:val="•"/>
      <w:lvlJc w:val="left"/>
      <w:pPr>
        <w:tabs>
          <w:tab w:val="num" w:pos="2160"/>
        </w:tabs>
        <w:ind w:left="2160" w:hanging="360"/>
      </w:pPr>
      <w:rPr>
        <w:rFonts w:ascii="Arial" w:hAnsi="Arial" w:hint="default"/>
      </w:rPr>
    </w:lvl>
    <w:lvl w:ilvl="3" w:tplc="4602484C" w:tentative="1">
      <w:start w:val="1"/>
      <w:numFmt w:val="bullet"/>
      <w:lvlText w:val="•"/>
      <w:lvlJc w:val="left"/>
      <w:pPr>
        <w:tabs>
          <w:tab w:val="num" w:pos="2880"/>
        </w:tabs>
        <w:ind w:left="2880" w:hanging="360"/>
      </w:pPr>
      <w:rPr>
        <w:rFonts w:ascii="Arial" w:hAnsi="Arial" w:hint="default"/>
      </w:rPr>
    </w:lvl>
    <w:lvl w:ilvl="4" w:tplc="D9D8E694" w:tentative="1">
      <w:start w:val="1"/>
      <w:numFmt w:val="bullet"/>
      <w:lvlText w:val="•"/>
      <w:lvlJc w:val="left"/>
      <w:pPr>
        <w:tabs>
          <w:tab w:val="num" w:pos="3600"/>
        </w:tabs>
        <w:ind w:left="3600" w:hanging="360"/>
      </w:pPr>
      <w:rPr>
        <w:rFonts w:ascii="Arial" w:hAnsi="Arial" w:hint="default"/>
      </w:rPr>
    </w:lvl>
    <w:lvl w:ilvl="5" w:tplc="7DF6A778" w:tentative="1">
      <w:start w:val="1"/>
      <w:numFmt w:val="bullet"/>
      <w:lvlText w:val="•"/>
      <w:lvlJc w:val="left"/>
      <w:pPr>
        <w:tabs>
          <w:tab w:val="num" w:pos="4320"/>
        </w:tabs>
        <w:ind w:left="4320" w:hanging="360"/>
      </w:pPr>
      <w:rPr>
        <w:rFonts w:ascii="Arial" w:hAnsi="Arial" w:hint="default"/>
      </w:rPr>
    </w:lvl>
    <w:lvl w:ilvl="6" w:tplc="44168EFC" w:tentative="1">
      <w:start w:val="1"/>
      <w:numFmt w:val="bullet"/>
      <w:lvlText w:val="•"/>
      <w:lvlJc w:val="left"/>
      <w:pPr>
        <w:tabs>
          <w:tab w:val="num" w:pos="5040"/>
        </w:tabs>
        <w:ind w:left="5040" w:hanging="360"/>
      </w:pPr>
      <w:rPr>
        <w:rFonts w:ascii="Arial" w:hAnsi="Arial" w:hint="default"/>
      </w:rPr>
    </w:lvl>
    <w:lvl w:ilvl="7" w:tplc="E91A44F0" w:tentative="1">
      <w:start w:val="1"/>
      <w:numFmt w:val="bullet"/>
      <w:lvlText w:val="•"/>
      <w:lvlJc w:val="left"/>
      <w:pPr>
        <w:tabs>
          <w:tab w:val="num" w:pos="5760"/>
        </w:tabs>
        <w:ind w:left="5760" w:hanging="360"/>
      </w:pPr>
      <w:rPr>
        <w:rFonts w:ascii="Arial" w:hAnsi="Arial" w:hint="default"/>
      </w:rPr>
    </w:lvl>
    <w:lvl w:ilvl="8" w:tplc="36B2920A" w:tentative="1">
      <w:start w:val="1"/>
      <w:numFmt w:val="bullet"/>
      <w:lvlText w:val="•"/>
      <w:lvlJc w:val="left"/>
      <w:pPr>
        <w:tabs>
          <w:tab w:val="num" w:pos="6480"/>
        </w:tabs>
        <w:ind w:left="6480" w:hanging="360"/>
      </w:pPr>
      <w:rPr>
        <w:rFonts w:ascii="Arial" w:hAnsi="Arial" w:hint="default"/>
      </w:rPr>
    </w:lvl>
  </w:abstractNum>
  <w:abstractNum w:abstractNumId="3">
    <w:nsid w:val="4B5077C8"/>
    <w:multiLevelType w:val="hybridMultilevel"/>
    <w:tmpl w:val="30A23DAC"/>
    <w:lvl w:ilvl="0" w:tplc="738C3B1E">
      <w:start w:val="1"/>
      <w:numFmt w:val="bullet"/>
      <w:lvlText w:val="•"/>
      <w:lvlJc w:val="left"/>
      <w:pPr>
        <w:tabs>
          <w:tab w:val="num" w:pos="720"/>
        </w:tabs>
        <w:ind w:left="720" w:hanging="360"/>
      </w:pPr>
      <w:rPr>
        <w:rFonts w:ascii="Arial" w:hAnsi="Arial" w:hint="default"/>
      </w:rPr>
    </w:lvl>
    <w:lvl w:ilvl="1" w:tplc="723CE68E" w:tentative="1">
      <w:start w:val="1"/>
      <w:numFmt w:val="bullet"/>
      <w:lvlText w:val="•"/>
      <w:lvlJc w:val="left"/>
      <w:pPr>
        <w:tabs>
          <w:tab w:val="num" w:pos="1440"/>
        </w:tabs>
        <w:ind w:left="1440" w:hanging="360"/>
      </w:pPr>
      <w:rPr>
        <w:rFonts w:ascii="Arial" w:hAnsi="Arial" w:hint="default"/>
      </w:rPr>
    </w:lvl>
    <w:lvl w:ilvl="2" w:tplc="6A862A9A" w:tentative="1">
      <w:start w:val="1"/>
      <w:numFmt w:val="bullet"/>
      <w:lvlText w:val="•"/>
      <w:lvlJc w:val="left"/>
      <w:pPr>
        <w:tabs>
          <w:tab w:val="num" w:pos="2160"/>
        </w:tabs>
        <w:ind w:left="2160" w:hanging="360"/>
      </w:pPr>
      <w:rPr>
        <w:rFonts w:ascii="Arial" w:hAnsi="Arial" w:hint="default"/>
      </w:rPr>
    </w:lvl>
    <w:lvl w:ilvl="3" w:tplc="C72C56D8" w:tentative="1">
      <w:start w:val="1"/>
      <w:numFmt w:val="bullet"/>
      <w:lvlText w:val="•"/>
      <w:lvlJc w:val="left"/>
      <w:pPr>
        <w:tabs>
          <w:tab w:val="num" w:pos="2880"/>
        </w:tabs>
        <w:ind w:left="2880" w:hanging="360"/>
      </w:pPr>
      <w:rPr>
        <w:rFonts w:ascii="Arial" w:hAnsi="Arial" w:hint="default"/>
      </w:rPr>
    </w:lvl>
    <w:lvl w:ilvl="4" w:tplc="FA262B68" w:tentative="1">
      <w:start w:val="1"/>
      <w:numFmt w:val="bullet"/>
      <w:lvlText w:val="•"/>
      <w:lvlJc w:val="left"/>
      <w:pPr>
        <w:tabs>
          <w:tab w:val="num" w:pos="3600"/>
        </w:tabs>
        <w:ind w:left="3600" w:hanging="360"/>
      </w:pPr>
      <w:rPr>
        <w:rFonts w:ascii="Arial" w:hAnsi="Arial" w:hint="default"/>
      </w:rPr>
    </w:lvl>
    <w:lvl w:ilvl="5" w:tplc="947CD584" w:tentative="1">
      <w:start w:val="1"/>
      <w:numFmt w:val="bullet"/>
      <w:lvlText w:val="•"/>
      <w:lvlJc w:val="left"/>
      <w:pPr>
        <w:tabs>
          <w:tab w:val="num" w:pos="4320"/>
        </w:tabs>
        <w:ind w:left="4320" w:hanging="360"/>
      </w:pPr>
      <w:rPr>
        <w:rFonts w:ascii="Arial" w:hAnsi="Arial" w:hint="default"/>
      </w:rPr>
    </w:lvl>
    <w:lvl w:ilvl="6" w:tplc="B3CE7F04" w:tentative="1">
      <w:start w:val="1"/>
      <w:numFmt w:val="bullet"/>
      <w:lvlText w:val="•"/>
      <w:lvlJc w:val="left"/>
      <w:pPr>
        <w:tabs>
          <w:tab w:val="num" w:pos="5040"/>
        </w:tabs>
        <w:ind w:left="5040" w:hanging="360"/>
      </w:pPr>
      <w:rPr>
        <w:rFonts w:ascii="Arial" w:hAnsi="Arial" w:hint="default"/>
      </w:rPr>
    </w:lvl>
    <w:lvl w:ilvl="7" w:tplc="1BBC7D42" w:tentative="1">
      <w:start w:val="1"/>
      <w:numFmt w:val="bullet"/>
      <w:lvlText w:val="•"/>
      <w:lvlJc w:val="left"/>
      <w:pPr>
        <w:tabs>
          <w:tab w:val="num" w:pos="5760"/>
        </w:tabs>
        <w:ind w:left="5760" w:hanging="360"/>
      </w:pPr>
      <w:rPr>
        <w:rFonts w:ascii="Arial" w:hAnsi="Arial" w:hint="default"/>
      </w:rPr>
    </w:lvl>
    <w:lvl w:ilvl="8" w:tplc="B7A002C6" w:tentative="1">
      <w:start w:val="1"/>
      <w:numFmt w:val="bullet"/>
      <w:lvlText w:val="•"/>
      <w:lvlJc w:val="left"/>
      <w:pPr>
        <w:tabs>
          <w:tab w:val="num" w:pos="6480"/>
        </w:tabs>
        <w:ind w:left="6480" w:hanging="360"/>
      </w:pPr>
      <w:rPr>
        <w:rFonts w:ascii="Arial" w:hAnsi="Arial" w:hint="default"/>
      </w:rPr>
    </w:lvl>
  </w:abstractNum>
  <w:abstractNum w:abstractNumId="4">
    <w:nsid w:val="512C5609"/>
    <w:multiLevelType w:val="hybridMultilevel"/>
    <w:tmpl w:val="85688AEA"/>
    <w:lvl w:ilvl="0" w:tplc="DD7A4D6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64A03"/>
    <w:multiLevelType w:val="hybridMultilevel"/>
    <w:tmpl w:val="A26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E21A4"/>
    <w:multiLevelType w:val="hybridMultilevel"/>
    <w:tmpl w:val="87426FF2"/>
    <w:lvl w:ilvl="0" w:tplc="1316B1DA">
      <w:start w:val="1"/>
      <w:numFmt w:val="bullet"/>
      <w:lvlText w:val="•"/>
      <w:lvlJc w:val="left"/>
      <w:pPr>
        <w:tabs>
          <w:tab w:val="num" w:pos="720"/>
        </w:tabs>
        <w:ind w:left="720" w:hanging="360"/>
      </w:pPr>
      <w:rPr>
        <w:rFonts w:ascii="Arial" w:hAnsi="Arial" w:hint="default"/>
      </w:rPr>
    </w:lvl>
    <w:lvl w:ilvl="1" w:tplc="69AEB7C4" w:tentative="1">
      <w:start w:val="1"/>
      <w:numFmt w:val="bullet"/>
      <w:lvlText w:val="•"/>
      <w:lvlJc w:val="left"/>
      <w:pPr>
        <w:tabs>
          <w:tab w:val="num" w:pos="1440"/>
        </w:tabs>
        <w:ind w:left="1440" w:hanging="360"/>
      </w:pPr>
      <w:rPr>
        <w:rFonts w:ascii="Arial" w:hAnsi="Arial" w:hint="default"/>
      </w:rPr>
    </w:lvl>
    <w:lvl w:ilvl="2" w:tplc="906ADF5A" w:tentative="1">
      <w:start w:val="1"/>
      <w:numFmt w:val="bullet"/>
      <w:lvlText w:val="•"/>
      <w:lvlJc w:val="left"/>
      <w:pPr>
        <w:tabs>
          <w:tab w:val="num" w:pos="2160"/>
        </w:tabs>
        <w:ind w:left="2160" w:hanging="360"/>
      </w:pPr>
      <w:rPr>
        <w:rFonts w:ascii="Arial" w:hAnsi="Arial" w:hint="default"/>
      </w:rPr>
    </w:lvl>
    <w:lvl w:ilvl="3" w:tplc="41745742" w:tentative="1">
      <w:start w:val="1"/>
      <w:numFmt w:val="bullet"/>
      <w:lvlText w:val="•"/>
      <w:lvlJc w:val="left"/>
      <w:pPr>
        <w:tabs>
          <w:tab w:val="num" w:pos="2880"/>
        </w:tabs>
        <w:ind w:left="2880" w:hanging="360"/>
      </w:pPr>
      <w:rPr>
        <w:rFonts w:ascii="Arial" w:hAnsi="Arial" w:hint="default"/>
      </w:rPr>
    </w:lvl>
    <w:lvl w:ilvl="4" w:tplc="D80621AC" w:tentative="1">
      <w:start w:val="1"/>
      <w:numFmt w:val="bullet"/>
      <w:lvlText w:val="•"/>
      <w:lvlJc w:val="left"/>
      <w:pPr>
        <w:tabs>
          <w:tab w:val="num" w:pos="3600"/>
        </w:tabs>
        <w:ind w:left="3600" w:hanging="360"/>
      </w:pPr>
      <w:rPr>
        <w:rFonts w:ascii="Arial" w:hAnsi="Arial" w:hint="default"/>
      </w:rPr>
    </w:lvl>
    <w:lvl w:ilvl="5" w:tplc="2DC2F7F8" w:tentative="1">
      <w:start w:val="1"/>
      <w:numFmt w:val="bullet"/>
      <w:lvlText w:val="•"/>
      <w:lvlJc w:val="left"/>
      <w:pPr>
        <w:tabs>
          <w:tab w:val="num" w:pos="4320"/>
        </w:tabs>
        <w:ind w:left="4320" w:hanging="360"/>
      </w:pPr>
      <w:rPr>
        <w:rFonts w:ascii="Arial" w:hAnsi="Arial" w:hint="default"/>
      </w:rPr>
    </w:lvl>
    <w:lvl w:ilvl="6" w:tplc="9F5898FC" w:tentative="1">
      <w:start w:val="1"/>
      <w:numFmt w:val="bullet"/>
      <w:lvlText w:val="•"/>
      <w:lvlJc w:val="left"/>
      <w:pPr>
        <w:tabs>
          <w:tab w:val="num" w:pos="5040"/>
        </w:tabs>
        <w:ind w:left="5040" w:hanging="360"/>
      </w:pPr>
      <w:rPr>
        <w:rFonts w:ascii="Arial" w:hAnsi="Arial" w:hint="default"/>
      </w:rPr>
    </w:lvl>
    <w:lvl w:ilvl="7" w:tplc="758601B8" w:tentative="1">
      <w:start w:val="1"/>
      <w:numFmt w:val="bullet"/>
      <w:lvlText w:val="•"/>
      <w:lvlJc w:val="left"/>
      <w:pPr>
        <w:tabs>
          <w:tab w:val="num" w:pos="5760"/>
        </w:tabs>
        <w:ind w:left="5760" w:hanging="360"/>
      </w:pPr>
      <w:rPr>
        <w:rFonts w:ascii="Arial" w:hAnsi="Arial" w:hint="default"/>
      </w:rPr>
    </w:lvl>
    <w:lvl w:ilvl="8" w:tplc="2BDE3CE2" w:tentative="1">
      <w:start w:val="1"/>
      <w:numFmt w:val="bullet"/>
      <w:lvlText w:val="•"/>
      <w:lvlJc w:val="left"/>
      <w:pPr>
        <w:tabs>
          <w:tab w:val="num" w:pos="6480"/>
        </w:tabs>
        <w:ind w:left="6480" w:hanging="360"/>
      </w:pPr>
      <w:rPr>
        <w:rFonts w:ascii="Arial" w:hAnsi="Arial" w:hint="default"/>
      </w:rPr>
    </w:lvl>
  </w:abstractNum>
  <w:abstractNum w:abstractNumId="7">
    <w:nsid w:val="58615647"/>
    <w:multiLevelType w:val="hybridMultilevel"/>
    <w:tmpl w:val="6BC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2D0"/>
    <w:rsid w:val="00074298"/>
    <w:rsid w:val="001A61C2"/>
    <w:rsid w:val="002331F7"/>
    <w:rsid w:val="00391DFD"/>
    <w:rsid w:val="004C22D0"/>
    <w:rsid w:val="005E602D"/>
    <w:rsid w:val="00631FB6"/>
    <w:rsid w:val="0086493A"/>
    <w:rsid w:val="00887E20"/>
    <w:rsid w:val="00B10ED2"/>
    <w:rsid w:val="00B7204E"/>
    <w:rsid w:val="00C34042"/>
    <w:rsid w:val="00C81CAB"/>
    <w:rsid w:val="00D24DDB"/>
    <w:rsid w:val="00DB516C"/>
    <w:rsid w:val="00E56DBD"/>
    <w:rsid w:val="00EA6CA1"/>
    <w:rsid w:val="00EB469E"/>
    <w:rsid w:val="00EE03E8"/>
    <w:rsid w:val="00F62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D0"/>
    <w:pPr>
      <w:spacing w:after="0" w:line="240" w:lineRule="auto"/>
    </w:pPr>
    <w:rPr>
      <w:rFonts w:ascii="Garamond" w:hAnsi="Garamond"/>
      <w:sz w:val="24"/>
    </w:rPr>
  </w:style>
  <w:style w:type="paragraph" w:styleId="Heading1">
    <w:name w:val="heading 1"/>
    <w:basedOn w:val="Normal"/>
    <w:next w:val="Normal"/>
    <w:link w:val="Heading1Char"/>
    <w:uiPriority w:val="9"/>
    <w:qFormat/>
    <w:rsid w:val="00D24DDB"/>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24DDB"/>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B"/>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D24DDB"/>
    <w:rPr>
      <w:rFonts w:ascii="Verdana" w:eastAsiaTheme="majorEastAsia" w:hAnsi="Verdana" w:cstheme="majorBidi"/>
      <w:b/>
      <w:bCs/>
      <w:sz w:val="26"/>
      <w:szCs w:val="26"/>
    </w:rPr>
  </w:style>
  <w:style w:type="paragraph" w:styleId="ListParagraph">
    <w:name w:val="List Paragraph"/>
    <w:basedOn w:val="Normal"/>
    <w:uiPriority w:val="34"/>
    <w:qFormat/>
    <w:rsid w:val="004C22D0"/>
    <w:pPr>
      <w:numPr>
        <w:numId w:val="1"/>
      </w:numPr>
      <w:spacing w:after="200"/>
      <w:contextualSpacing/>
    </w:pPr>
    <w:rPr>
      <w:rFonts w:eastAsiaTheme="minorEastAsia"/>
    </w:rPr>
  </w:style>
  <w:style w:type="paragraph" w:styleId="BalloonText">
    <w:name w:val="Balloon Text"/>
    <w:basedOn w:val="Normal"/>
    <w:link w:val="BalloonTextChar"/>
    <w:uiPriority w:val="99"/>
    <w:semiHidden/>
    <w:unhideWhenUsed/>
    <w:rsid w:val="004C22D0"/>
    <w:rPr>
      <w:rFonts w:ascii="Tahoma" w:hAnsi="Tahoma" w:cs="Tahoma"/>
      <w:sz w:val="16"/>
      <w:szCs w:val="16"/>
    </w:rPr>
  </w:style>
  <w:style w:type="character" w:customStyle="1" w:styleId="BalloonTextChar">
    <w:name w:val="Balloon Text Char"/>
    <w:basedOn w:val="DefaultParagraphFont"/>
    <w:link w:val="BalloonText"/>
    <w:uiPriority w:val="99"/>
    <w:semiHidden/>
    <w:rsid w:val="004C22D0"/>
    <w:rPr>
      <w:rFonts w:ascii="Tahoma" w:hAnsi="Tahoma" w:cs="Tahoma"/>
      <w:sz w:val="16"/>
      <w:szCs w:val="16"/>
    </w:rPr>
  </w:style>
  <w:style w:type="character" w:styleId="CommentReference">
    <w:name w:val="annotation reference"/>
    <w:basedOn w:val="DefaultParagraphFont"/>
    <w:uiPriority w:val="99"/>
    <w:semiHidden/>
    <w:unhideWhenUsed/>
    <w:rsid w:val="00074298"/>
    <w:rPr>
      <w:sz w:val="16"/>
      <w:szCs w:val="16"/>
    </w:rPr>
  </w:style>
  <w:style w:type="paragraph" w:styleId="CommentText">
    <w:name w:val="annotation text"/>
    <w:basedOn w:val="Normal"/>
    <w:link w:val="CommentTextChar"/>
    <w:uiPriority w:val="99"/>
    <w:semiHidden/>
    <w:unhideWhenUsed/>
    <w:rsid w:val="00074298"/>
    <w:rPr>
      <w:sz w:val="20"/>
      <w:szCs w:val="20"/>
    </w:rPr>
  </w:style>
  <w:style w:type="character" w:customStyle="1" w:styleId="CommentTextChar">
    <w:name w:val="Comment Text Char"/>
    <w:basedOn w:val="DefaultParagraphFont"/>
    <w:link w:val="CommentText"/>
    <w:uiPriority w:val="99"/>
    <w:semiHidden/>
    <w:rsid w:val="0007429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74298"/>
    <w:rPr>
      <w:b/>
      <w:bCs/>
    </w:rPr>
  </w:style>
  <w:style w:type="character" w:customStyle="1" w:styleId="CommentSubjectChar">
    <w:name w:val="Comment Subject Char"/>
    <w:basedOn w:val="CommentTextChar"/>
    <w:link w:val="CommentSubject"/>
    <w:uiPriority w:val="99"/>
    <w:semiHidden/>
    <w:rsid w:val="00074298"/>
    <w:rPr>
      <w:rFonts w:ascii="Garamond" w:hAnsi="Garamond"/>
      <w:b/>
      <w:bCs/>
      <w:sz w:val="20"/>
      <w:szCs w:val="20"/>
    </w:rPr>
  </w:style>
  <w:style w:type="paragraph" w:customStyle="1" w:styleId="body">
    <w:name w:val="body"/>
    <w:basedOn w:val="Normal"/>
    <w:qFormat/>
    <w:rsid w:val="00B7204E"/>
    <w:rPr>
      <w:color w:val="0F243E" w:themeColor="text2" w:themeShade="80"/>
    </w:rPr>
  </w:style>
  <w:style w:type="table" w:styleId="TableGrid">
    <w:name w:val="Table Grid"/>
    <w:basedOn w:val="TableNormal"/>
    <w:uiPriority w:val="59"/>
    <w:rsid w:val="00B72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5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D0"/>
    <w:pPr>
      <w:spacing w:after="0" w:line="240" w:lineRule="auto"/>
    </w:pPr>
    <w:rPr>
      <w:rFonts w:ascii="Garamond" w:hAnsi="Garamond"/>
      <w:sz w:val="24"/>
    </w:rPr>
  </w:style>
  <w:style w:type="paragraph" w:styleId="Heading1">
    <w:name w:val="heading 1"/>
    <w:basedOn w:val="Normal"/>
    <w:next w:val="Normal"/>
    <w:link w:val="Heading1Char"/>
    <w:uiPriority w:val="9"/>
    <w:qFormat/>
    <w:rsid w:val="00D24DDB"/>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24DDB"/>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B"/>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D24DDB"/>
    <w:rPr>
      <w:rFonts w:ascii="Verdana" w:eastAsiaTheme="majorEastAsia" w:hAnsi="Verdana" w:cstheme="majorBidi"/>
      <w:b/>
      <w:bCs/>
      <w:sz w:val="26"/>
      <w:szCs w:val="26"/>
    </w:rPr>
  </w:style>
  <w:style w:type="paragraph" w:styleId="ListParagraph">
    <w:name w:val="List Paragraph"/>
    <w:basedOn w:val="Normal"/>
    <w:uiPriority w:val="34"/>
    <w:qFormat/>
    <w:rsid w:val="004C22D0"/>
    <w:pPr>
      <w:numPr>
        <w:numId w:val="1"/>
      </w:numPr>
      <w:spacing w:after="200"/>
      <w:contextualSpacing/>
    </w:pPr>
    <w:rPr>
      <w:rFonts w:eastAsiaTheme="minorEastAsia"/>
    </w:rPr>
  </w:style>
  <w:style w:type="paragraph" w:styleId="BalloonText">
    <w:name w:val="Balloon Text"/>
    <w:basedOn w:val="Normal"/>
    <w:link w:val="BalloonTextChar"/>
    <w:uiPriority w:val="99"/>
    <w:semiHidden/>
    <w:unhideWhenUsed/>
    <w:rsid w:val="004C22D0"/>
    <w:rPr>
      <w:rFonts w:ascii="Tahoma" w:hAnsi="Tahoma" w:cs="Tahoma"/>
      <w:sz w:val="16"/>
      <w:szCs w:val="16"/>
    </w:rPr>
  </w:style>
  <w:style w:type="character" w:customStyle="1" w:styleId="BalloonTextChar">
    <w:name w:val="Balloon Text Char"/>
    <w:basedOn w:val="DefaultParagraphFont"/>
    <w:link w:val="BalloonText"/>
    <w:uiPriority w:val="99"/>
    <w:semiHidden/>
    <w:rsid w:val="004C22D0"/>
    <w:rPr>
      <w:rFonts w:ascii="Tahoma" w:hAnsi="Tahoma" w:cs="Tahoma"/>
      <w:sz w:val="16"/>
      <w:szCs w:val="16"/>
    </w:rPr>
  </w:style>
  <w:style w:type="character" w:styleId="CommentReference">
    <w:name w:val="annotation reference"/>
    <w:basedOn w:val="DefaultParagraphFont"/>
    <w:uiPriority w:val="99"/>
    <w:semiHidden/>
    <w:unhideWhenUsed/>
    <w:rsid w:val="00074298"/>
    <w:rPr>
      <w:sz w:val="16"/>
      <w:szCs w:val="16"/>
    </w:rPr>
  </w:style>
  <w:style w:type="paragraph" w:styleId="CommentText">
    <w:name w:val="annotation text"/>
    <w:basedOn w:val="Normal"/>
    <w:link w:val="CommentTextChar"/>
    <w:uiPriority w:val="99"/>
    <w:semiHidden/>
    <w:unhideWhenUsed/>
    <w:rsid w:val="00074298"/>
    <w:rPr>
      <w:sz w:val="20"/>
      <w:szCs w:val="20"/>
    </w:rPr>
  </w:style>
  <w:style w:type="character" w:customStyle="1" w:styleId="CommentTextChar">
    <w:name w:val="Comment Text Char"/>
    <w:basedOn w:val="DefaultParagraphFont"/>
    <w:link w:val="CommentText"/>
    <w:uiPriority w:val="99"/>
    <w:semiHidden/>
    <w:rsid w:val="0007429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74298"/>
    <w:rPr>
      <w:b/>
      <w:bCs/>
    </w:rPr>
  </w:style>
  <w:style w:type="character" w:customStyle="1" w:styleId="CommentSubjectChar">
    <w:name w:val="Comment Subject Char"/>
    <w:basedOn w:val="CommentTextChar"/>
    <w:link w:val="CommentSubject"/>
    <w:uiPriority w:val="99"/>
    <w:semiHidden/>
    <w:rsid w:val="00074298"/>
    <w:rPr>
      <w:rFonts w:ascii="Garamond" w:hAnsi="Garamond"/>
      <w:b/>
      <w:bCs/>
      <w:sz w:val="20"/>
      <w:szCs w:val="20"/>
    </w:rPr>
  </w:style>
  <w:style w:type="paragraph" w:customStyle="1" w:styleId="body">
    <w:name w:val="body"/>
    <w:basedOn w:val="Normal"/>
    <w:qFormat/>
    <w:rsid w:val="00B7204E"/>
    <w:rPr>
      <w:color w:val="0F243E" w:themeColor="text2" w:themeShade="80"/>
    </w:rPr>
  </w:style>
  <w:style w:type="table" w:styleId="TableGrid">
    <w:name w:val="Table Grid"/>
    <w:basedOn w:val="TableNormal"/>
    <w:uiPriority w:val="59"/>
    <w:rsid w:val="00B72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51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6574972">
      <w:bodyDiv w:val="1"/>
      <w:marLeft w:val="0"/>
      <w:marRight w:val="0"/>
      <w:marTop w:val="0"/>
      <w:marBottom w:val="0"/>
      <w:divBdr>
        <w:top w:val="none" w:sz="0" w:space="0" w:color="auto"/>
        <w:left w:val="none" w:sz="0" w:space="0" w:color="auto"/>
        <w:bottom w:val="none" w:sz="0" w:space="0" w:color="auto"/>
        <w:right w:val="none" w:sz="0" w:space="0" w:color="auto"/>
      </w:divBdr>
    </w:div>
    <w:div w:id="1757896483">
      <w:bodyDiv w:val="1"/>
      <w:marLeft w:val="0"/>
      <w:marRight w:val="0"/>
      <w:marTop w:val="0"/>
      <w:marBottom w:val="0"/>
      <w:divBdr>
        <w:top w:val="none" w:sz="0" w:space="0" w:color="auto"/>
        <w:left w:val="none" w:sz="0" w:space="0" w:color="auto"/>
        <w:bottom w:val="none" w:sz="0" w:space="0" w:color="auto"/>
        <w:right w:val="none" w:sz="0" w:space="0" w:color="auto"/>
      </w:divBdr>
      <w:divsChild>
        <w:div w:id="2004627685">
          <w:marLeft w:val="547"/>
          <w:marRight w:val="0"/>
          <w:marTop w:val="144"/>
          <w:marBottom w:val="0"/>
          <w:divBdr>
            <w:top w:val="none" w:sz="0" w:space="0" w:color="auto"/>
            <w:left w:val="none" w:sz="0" w:space="0" w:color="auto"/>
            <w:bottom w:val="none" w:sz="0" w:space="0" w:color="auto"/>
            <w:right w:val="none" w:sz="0" w:space="0" w:color="auto"/>
          </w:divBdr>
        </w:div>
        <w:div w:id="573786609">
          <w:marLeft w:val="547"/>
          <w:marRight w:val="0"/>
          <w:marTop w:val="144"/>
          <w:marBottom w:val="0"/>
          <w:divBdr>
            <w:top w:val="none" w:sz="0" w:space="0" w:color="auto"/>
            <w:left w:val="none" w:sz="0" w:space="0" w:color="auto"/>
            <w:bottom w:val="none" w:sz="0" w:space="0" w:color="auto"/>
            <w:right w:val="none" w:sz="0" w:space="0" w:color="auto"/>
          </w:divBdr>
        </w:div>
        <w:div w:id="89759185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E.Public@state.mn.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Kate Golden</cp:lastModifiedBy>
  <cp:revision>2</cp:revision>
  <dcterms:created xsi:type="dcterms:W3CDTF">2012-10-22T19:54:00Z</dcterms:created>
  <dcterms:modified xsi:type="dcterms:W3CDTF">2012-10-22T19:54:00Z</dcterms:modified>
</cp:coreProperties>
</file>