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F7" w:rsidRPr="003061F7" w:rsidRDefault="003061F7" w:rsidP="003061F7">
      <w:pPr>
        <w:pStyle w:val="Heading1"/>
      </w:pPr>
      <w:bookmarkStart w:id="0" w:name="_Toc395880582"/>
      <w:r w:rsidRPr="003142F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9DFF3" wp14:editId="04914D7D">
                <wp:simplePos x="0" y="0"/>
                <wp:positionH relativeFrom="column">
                  <wp:posOffset>4206240</wp:posOffset>
                </wp:positionH>
                <wp:positionV relativeFrom="paragraph">
                  <wp:posOffset>121920</wp:posOffset>
                </wp:positionV>
                <wp:extent cx="2148840" cy="2077720"/>
                <wp:effectExtent l="0" t="0" r="22860" b="16510"/>
                <wp:wrapSquare wrapText="bothSides"/>
                <wp:docPr id="5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207772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10196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F7" w:rsidRDefault="003061F7" w:rsidP="003061F7">
                            <w:pPr>
                              <w:pStyle w:val="SB-Header"/>
                            </w:pPr>
                            <w:r>
                              <w:t>Additional Resources</w:t>
                            </w:r>
                          </w:p>
                          <w:p w:rsidR="003061F7" w:rsidRPr="00F55A91" w:rsidRDefault="003061F7" w:rsidP="003061F7">
                            <w:pPr>
                              <w:pStyle w:val="SB-Normal"/>
                            </w:pPr>
                            <w:r>
                              <w:t xml:space="preserve">The </w:t>
                            </w:r>
                            <w:r w:rsidRPr="00F55A91">
                              <w:t xml:space="preserve">Kellogg Foundation’s 2004 Logic Model </w:t>
                            </w:r>
                            <w:r w:rsidRPr="003142F1">
                              <w:t>Development Guide (</w:t>
                            </w:r>
                            <w:r w:rsidRPr="00C95E72">
                              <w:rPr>
                                <w:rStyle w:val="Hyperlink"/>
                                <w:b/>
                              </w:rPr>
                              <w:t>http://www.wkkf.org/knowledge-center/resources/2006/02/wk-kellogg-foundation-logic-model-development-guide.aspx</w:t>
                            </w:r>
                            <w:r w:rsidRPr="003142F1">
                              <w:rPr>
                                <w:color w:val="0000FF"/>
                              </w:rPr>
                              <w:t xml:space="preserve">) </w:t>
                            </w:r>
                            <w:r w:rsidRPr="003142F1">
                              <w:t>provides</w:t>
                            </w:r>
                            <w:r w:rsidRPr="00637774">
                              <w:t xml:space="preserve"> advice and examples for constructing a logic model.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1.2pt;margin-top:9.6pt;width:169.2pt;height:1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6Z1OQIAAHMEAAAOAAAAZHJzL2Uyb0RvYy54bWysVFGP0zAMfkfiP0R5Z22n7bZV607HjiGk&#10;40C64wd4abpGpElIsrXj1+Mk224HD0iIPkRObH+2P9td3g6dJAdundCqosUop4QrpmuhdhX99rx5&#10;N6fEeVA1SK14RY/c0dvV2zfL3pR8rFsta24JgihX9qairfemzDLHWt6BG2nDFSobbTvweLW7rLbQ&#10;I3ons3Ge32S9trWxmnHn8PU+Kekq4jcNZ/5L0zjuiawo5ubjaeO5DWe2WkK5s2BawU5pwD9k0YFQ&#10;GPQCdQ8eyN6KP6A6wax2uvEjprtMN41gPNaA1RT5b9U8tWB4rAXJceZCk/t/sOzx8NUSUVd0OqNE&#10;QYc9euaDJ+/1QKaBnt64Eq2eDNr5AZ+xzbFUZx40++6I0usW1I7fWav7lkON6RXBM7tyTTgugGz7&#10;z7rGMLD3OgINje0Cd8gGQXRs0/HSmpAKw8dxMZnPJ6hiqBvns9lsHJuXQXl2N9b5j1x3JAgVtdj7&#10;CA+HB+dDOlCeTUI0p6WoN0LKeLG77VpacoAwJ/FLvtK0kF6LvFjcxLLQN5lHzFc4UpG+oovpeJoo&#10;+luMlNYriE543AgpuorOUyJoBGUg9oOqo+xByCRjTVKdmA7kJpr9sB3QMNC/1fURObc6TT5uKgqt&#10;tj8p6XHqK+p+7MFySuQnhX1bFJNAso+XyTSQTOy1ZnutAcUQqqKekiSufVqtvbFi12Kk86TcYa83&#10;InbhJatT3jjZkcjTFobVub5Hq5d/xeoXAAAA//8DAFBLAwQUAAYACAAAACEAVbGvPOEAAAALAQAA&#10;DwAAAGRycy9kb3ducmV2LnhtbEyPTU+DQBCG7yb+h82YeLO7IkFFlsb4FS+NKW1ij1uYApGdJexC&#10;6b93etLj5H3yzvNmy9l2YsLBt4403C4UCKTSVS3VGrab95sHED4YqkznCDWc0MMyv7zITFq5I61x&#10;KkItuIR8ajQ0IfSplL5s0Bq/cD0SZwc3WBP4HGpZDebI5baTkVKJtKYl/tCYHl8aLH+K0WoYp9Vu&#10;/fb6ff8Zb3b+azodth+F1Pr6an5+AhFwDn8wnPVZHXJ22ruRKi86DUkSxYxy8BiBOANKKR6z13AX&#10;JzHIPJP/N+S/AAAA//8DAFBLAQItABQABgAIAAAAIQC2gziS/gAAAOEBAAATAAAAAAAAAAAAAAAA&#10;AAAAAABbQ29udGVudF9UeXBlc10ueG1sUEsBAi0AFAAGAAgAAAAhADj9If/WAAAAlAEAAAsAAAAA&#10;AAAAAAAAAAAALwEAAF9yZWxzLy5yZWxzUEsBAi0AFAAGAAgAAAAhACnrpnU5AgAAcwQAAA4AAAAA&#10;AAAAAAAAAAAALgIAAGRycy9lMm9Eb2MueG1sUEsBAi0AFAAGAAgAAAAhAFWxrzzhAAAACwEAAA8A&#10;AAAAAAAAAAAAAAAAkwQAAGRycy9kb3ducmV2LnhtbFBLBQYAAAAABAAEAPMAAAChBQAAAAA=&#10;" fillcolor="black">
                <v:fill opacity="6682f"/>
                <v:textbox style="mso-fit-shape-to-text:t">
                  <w:txbxContent>
                    <w:p w:rsidR="003061F7" w:rsidRDefault="003061F7" w:rsidP="003061F7">
                      <w:pPr>
                        <w:pStyle w:val="SB-Header"/>
                      </w:pPr>
                      <w:r>
                        <w:t>Additional Resources</w:t>
                      </w:r>
                    </w:p>
                    <w:p w:rsidR="003061F7" w:rsidRPr="00F55A91" w:rsidRDefault="003061F7" w:rsidP="003061F7">
                      <w:pPr>
                        <w:pStyle w:val="SB-Normal"/>
                      </w:pPr>
                      <w:r>
                        <w:t xml:space="preserve">The </w:t>
                      </w:r>
                      <w:r w:rsidRPr="00F55A91">
                        <w:t xml:space="preserve">Kellogg Foundation’s 2004 Logic Model </w:t>
                      </w:r>
                      <w:r w:rsidRPr="003142F1">
                        <w:t>Development Guide (</w:t>
                      </w:r>
                      <w:r w:rsidRPr="00C95E72">
                        <w:rPr>
                          <w:rStyle w:val="Hyperlink"/>
                          <w:b/>
                        </w:rPr>
                        <w:t>http://www.wkkf.org/knowledge-center/resources/2006/02/wk-kellogg-foundation-logic-model-development-guide.aspx</w:t>
                      </w:r>
                      <w:r w:rsidRPr="003142F1">
                        <w:rPr>
                          <w:color w:val="0000FF"/>
                        </w:rPr>
                        <w:t xml:space="preserve">) </w:t>
                      </w:r>
                      <w:r w:rsidRPr="003142F1">
                        <w:t>provides</w:t>
                      </w:r>
                      <w:r w:rsidRPr="00637774">
                        <w:t xml:space="preserve"> advice and examples for constructing a logic model.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Developing</w:t>
      </w:r>
      <w:r w:rsidRPr="003142F1">
        <w:t xml:space="preserve"> Program Theory and Logic Model</w:t>
      </w:r>
      <w:bookmarkEnd w:id="0"/>
      <w:r>
        <w:t xml:space="preserve"> – Social Innovation Fund (SIF) Evaluation Plan Guidance</w:t>
      </w:r>
    </w:p>
    <w:p w:rsidR="003061F7" w:rsidRDefault="003061F7" w:rsidP="003061F7">
      <w:pPr>
        <w:pStyle w:val="NewNormal"/>
      </w:pPr>
      <w:r w:rsidRPr="00784BA4">
        <w:t>The SEP should include</w:t>
      </w:r>
      <w:r>
        <w:t xml:space="preserve"> an overview of your program’s theory and</w:t>
      </w:r>
      <w:r w:rsidRPr="00784BA4">
        <w:t xml:space="preserve"> a logic model that </w:t>
      </w:r>
      <w:r>
        <w:t>guides</w:t>
      </w:r>
      <w:r w:rsidRPr="00784BA4">
        <w:t xml:space="preserve"> the evaluation and compl</w:t>
      </w:r>
      <w:r>
        <w:t>ies</w:t>
      </w:r>
      <w:r w:rsidRPr="00784BA4">
        <w:t xml:space="preserve"> with all of the guidance in this document.</w:t>
      </w:r>
      <w:r>
        <w:t xml:space="preserve"> A description of program theory will provide the reader with a better understanding of how your program is expected to achieve its targeted outcomes and impacts.</w:t>
      </w:r>
    </w:p>
    <w:p w:rsidR="003061F7" w:rsidRDefault="003061F7" w:rsidP="003061F7">
      <w:pPr>
        <w:pStyle w:val="NewNormal"/>
      </w:pPr>
      <w:r>
        <w:t>A description of program theory, coupled with an informative logic model, frames</w:t>
      </w:r>
      <w:r w:rsidRPr="006D48FE">
        <w:t xml:space="preserve"> the evaluation design.</w:t>
      </w:r>
      <w:r>
        <w:t xml:space="preserve"> </w:t>
      </w:r>
      <w:r w:rsidRPr="006D48FE">
        <w:t xml:space="preserve">Understanding </w:t>
      </w:r>
      <w:r>
        <w:t xml:space="preserve">the theory and assumptions behind how a program is designed </w:t>
      </w:r>
      <w:r w:rsidRPr="006D48FE">
        <w:t xml:space="preserve">is an important precursor upon which all subsequent evaluation activities fundamentally rest (Rossi, Lipsey, </w:t>
      </w:r>
      <w:r>
        <w:t>&amp;</w:t>
      </w:r>
      <w:r w:rsidRPr="006D48FE">
        <w:t xml:space="preserve"> Freeman, 2004).</w:t>
      </w:r>
      <w:r>
        <w:t xml:space="preserve"> A program logic model</w:t>
      </w:r>
      <w:r w:rsidRPr="006D48FE">
        <w:t xml:space="preserve"> usually include</w:t>
      </w:r>
      <w:r>
        <w:t>s</w:t>
      </w:r>
      <w:r w:rsidRPr="006D48FE">
        <w:t xml:space="preserve"> </w:t>
      </w:r>
      <w:r w:rsidRPr="00E32E2C">
        <w:t>both a graphic display and a narrative description</w:t>
      </w:r>
      <w:r w:rsidRPr="006D48FE">
        <w:t xml:space="preserve"> of the resources/inputs, </w:t>
      </w:r>
      <w:r>
        <w:t xml:space="preserve">the program activities that constitute the </w:t>
      </w:r>
      <w:r w:rsidRPr="006D48FE">
        <w:t>intervention, and desired participant outcomes/results.</w:t>
      </w:r>
    </w:p>
    <w:p w:rsidR="003061F7" w:rsidRPr="00CA5DE3" w:rsidRDefault="003061F7" w:rsidP="003061F7">
      <w:pPr>
        <w:pStyle w:val="NewNormal"/>
      </w:pPr>
      <w:r w:rsidRPr="007F516D">
        <w:t>Logic models</w:t>
      </w:r>
      <w:r>
        <w:t>, which</w:t>
      </w:r>
      <w:r w:rsidRPr="007F516D">
        <w:t xml:space="preserve"> are </w:t>
      </w:r>
      <w:r>
        <w:t xml:space="preserve">grounded in </w:t>
      </w:r>
      <w:r w:rsidRPr="003061F7">
        <w:t xml:space="preserve">a </w:t>
      </w:r>
      <w:hyperlink w:anchor="Theoryofchange" w:history="1">
        <w:r w:rsidRPr="003061F7">
          <w:rPr>
            <w:rStyle w:val="Hyperlink"/>
            <w:color w:val="auto"/>
            <w:u w:val="none"/>
          </w:rPr>
          <w:t>theory of change</w:t>
        </w:r>
      </w:hyperlink>
      <w:r>
        <w:t>, use words and graphics</w:t>
      </w:r>
      <w:r w:rsidRPr="007F516D">
        <w:t xml:space="preserve"> to describe the sequence of activities thought to bring about change and how these activities are linked to the results the program is expected to achieve.</w:t>
      </w:r>
      <w:r>
        <w:t xml:space="preserve"> This process includes sequentially </w:t>
      </w:r>
      <w:r w:rsidRPr="007F516D">
        <w:t xml:space="preserve">thinking through </w:t>
      </w:r>
      <w:r>
        <w:t>and aligning the following areas:</w:t>
      </w:r>
    </w:p>
    <w:p w:rsidR="003061F7" w:rsidRDefault="003061F7" w:rsidP="003061F7">
      <w:pPr>
        <w:pStyle w:val="NewList"/>
      </w:pPr>
      <w:r w:rsidRPr="001F4CBD">
        <w:rPr>
          <w:i/>
        </w:rPr>
        <w:t>Resources</w:t>
      </w:r>
      <w:r>
        <w:rPr>
          <w:i/>
        </w:rPr>
        <w:t xml:space="preserve">/Inputs: </w:t>
      </w:r>
      <w:r>
        <w:t xml:space="preserve">Include resources that </w:t>
      </w:r>
      <w:r w:rsidRPr="001F4CBD">
        <w:t>are available and directly used for the program activities</w:t>
      </w:r>
      <w:r>
        <w:t>. T</w:t>
      </w:r>
      <w:r w:rsidRPr="001F4CBD">
        <w:t>his might include</w:t>
      </w:r>
      <w:r w:rsidRPr="001F4CBD">
        <w:rPr>
          <w:i/>
        </w:rPr>
        <w:t xml:space="preserve"> </w:t>
      </w:r>
      <w:r w:rsidRPr="001F4CBD">
        <w:t>human, financial, organizational, and community resources</w:t>
      </w:r>
      <w:r>
        <w:t>;</w:t>
      </w:r>
    </w:p>
    <w:p w:rsidR="003061F7" w:rsidRPr="001F4CBD" w:rsidRDefault="003061F7" w:rsidP="003061F7">
      <w:pPr>
        <w:pStyle w:val="NewList"/>
      </w:pPr>
      <w:hyperlink w:anchor="inter" w:history="1">
        <w:r w:rsidRPr="003061F7">
          <w:rPr>
            <w:rStyle w:val="Hyperlink"/>
            <w:i/>
            <w:color w:val="auto"/>
            <w:u w:val="none"/>
          </w:rPr>
          <w:t>Intervention</w:t>
        </w:r>
      </w:hyperlink>
      <w:r w:rsidRPr="003061F7">
        <w:rPr>
          <w:i/>
        </w:rPr>
        <w:t>:</w:t>
      </w:r>
      <w:r w:rsidRPr="003061F7">
        <w:rPr>
          <w:b/>
        </w:rPr>
        <w:t xml:space="preserve"> </w:t>
      </w:r>
      <w:r>
        <w:t>Include program activities</w:t>
      </w:r>
      <w:r w:rsidRPr="001F4CBD">
        <w:t xml:space="preserve"> </w:t>
      </w:r>
      <w:r>
        <w:t xml:space="preserve">(i.e., what constitutes the program intervention) </w:t>
      </w:r>
      <w:r w:rsidRPr="001F4CBD">
        <w:t xml:space="preserve">with the resources </w:t>
      </w:r>
      <w:r>
        <w:t xml:space="preserve">you listed previously that lead to </w:t>
      </w:r>
      <w:r w:rsidRPr="001F4CBD">
        <w:t>the intended program results</w:t>
      </w:r>
      <w:r>
        <w:t>/outcomes; and</w:t>
      </w:r>
    </w:p>
    <w:p w:rsidR="003061F7" w:rsidRPr="00FA2E3A" w:rsidRDefault="003061F7" w:rsidP="003061F7">
      <w:pPr>
        <w:pStyle w:val="NewList"/>
        <w:rPr>
          <w:rFonts w:ascii="Gill Sans MT" w:hAnsi="Gill Sans MT" w:cs="Times"/>
        </w:rPr>
      </w:pPr>
      <w:r w:rsidRPr="001F4CBD">
        <w:rPr>
          <w:i/>
        </w:rPr>
        <w:t>Outcomes</w:t>
      </w:r>
      <w:r>
        <w:rPr>
          <w:i/>
        </w:rPr>
        <w:t xml:space="preserve">/Results: </w:t>
      </w:r>
      <w:r>
        <w:t xml:space="preserve">Include </w:t>
      </w:r>
      <w:r w:rsidRPr="001F4CBD">
        <w:t xml:space="preserve">changes that occur because of </w:t>
      </w:r>
      <w:r>
        <w:t>the program</w:t>
      </w:r>
      <w:r w:rsidRPr="001F4CBD">
        <w:t xml:space="preserve"> intervention </w:t>
      </w:r>
      <w:r>
        <w:t>previously described, using the resources previously described. These can be any of the following:</w:t>
      </w:r>
    </w:p>
    <w:p w:rsidR="003061F7" w:rsidRDefault="003061F7" w:rsidP="003061F7">
      <w:pPr>
        <w:pStyle w:val="NewList"/>
        <w:numPr>
          <w:ilvl w:val="0"/>
          <w:numId w:val="3"/>
        </w:numPr>
      </w:pPr>
      <w:r w:rsidRPr="001F4CBD">
        <w:t xml:space="preserve">Short-term outcomes </w:t>
      </w:r>
      <w:r>
        <w:t xml:space="preserve">(outputs) </w:t>
      </w:r>
      <w:r w:rsidRPr="001F4CBD">
        <w:t xml:space="preserve">may </w:t>
      </w:r>
      <w:r>
        <w:t xml:space="preserve">include </w:t>
      </w:r>
      <w:r w:rsidRPr="001F4CBD">
        <w:t xml:space="preserve">the amount of intervention </w:t>
      </w:r>
      <w:r>
        <w:t xml:space="preserve">(i.e., the quantity and type(s) of program activities a participant actually takes part in) </w:t>
      </w:r>
      <w:r w:rsidRPr="001F4CBD">
        <w:t>an individual receives or</w:t>
      </w:r>
      <w:r>
        <w:t xml:space="preserve"> specific changes in</w:t>
      </w:r>
      <w:r w:rsidRPr="001F4CBD">
        <w:t xml:space="preserve"> knowledge or skills</w:t>
      </w:r>
      <w:r>
        <w:t>;</w:t>
      </w:r>
    </w:p>
    <w:p w:rsidR="003061F7" w:rsidRDefault="003061F7" w:rsidP="003061F7">
      <w:pPr>
        <w:pStyle w:val="NewList"/>
        <w:numPr>
          <w:ilvl w:val="0"/>
          <w:numId w:val="3"/>
        </w:numPr>
      </w:pPr>
      <w:r w:rsidRPr="001F4CBD">
        <w:t xml:space="preserve">Intermediate </w:t>
      </w:r>
      <w:r>
        <w:t>outcome</w:t>
      </w:r>
      <w:r w:rsidRPr="001F4CBD">
        <w:t>s may include changes in individuals’ behavior</w:t>
      </w:r>
      <w:r>
        <w:t>s or attitudes; and</w:t>
      </w:r>
    </w:p>
    <w:p w:rsidR="003061F7" w:rsidRPr="001F4CBD" w:rsidRDefault="003061F7" w:rsidP="003061F7">
      <w:pPr>
        <w:pStyle w:val="NewList"/>
        <w:numPr>
          <w:ilvl w:val="0"/>
          <w:numId w:val="3"/>
        </w:numPr>
        <w:rPr>
          <w:rFonts w:ascii="Gill Sans MT" w:hAnsi="Gill Sans MT" w:cs="Times"/>
        </w:rPr>
      </w:pPr>
      <w:r>
        <w:lastRenderedPageBreak/>
        <w:t>Long-term outcomes</w:t>
      </w:r>
      <w:r w:rsidRPr="001F4CBD">
        <w:t xml:space="preserve"> </w:t>
      </w:r>
      <w:r>
        <w:t>(impacts) may include</w:t>
      </w:r>
      <w:r w:rsidRPr="001F4CBD">
        <w:t xml:space="preserve"> the changes occurring in communities or systems as a result of program interventions.</w:t>
      </w:r>
    </w:p>
    <w:p w:rsidR="003061F7" w:rsidRPr="003142F1" w:rsidRDefault="003061F7" w:rsidP="003061F7">
      <w:pPr>
        <w:pStyle w:val="NewNormal"/>
      </w:pPr>
      <w:r w:rsidRPr="00637774">
        <w:t xml:space="preserve">An example of </w:t>
      </w:r>
      <w:r>
        <w:t>a logic model can be found on the following page</w:t>
      </w:r>
      <w:r>
        <w:t>.</w:t>
      </w:r>
    </w:p>
    <w:p w:rsidR="003061F7" w:rsidRPr="00141E7E" w:rsidRDefault="003061F7" w:rsidP="003061F7">
      <w:pPr>
        <w:pStyle w:val="Heading2"/>
      </w:pPr>
      <w:bookmarkStart w:id="1" w:name="_Toc315441041"/>
      <w:bookmarkStart w:id="2" w:name="_Toc316388488"/>
      <w:bookmarkStart w:id="3" w:name="_Toc354996235"/>
      <w:bookmarkStart w:id="4" w:name="_Toc395880583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17A27" wp14:editId="06C7E84A">
                <wp:simplePos x="0" y="0"/>
                <wp:positionH relativeFrom="column">
                  <wp:posOffset>4203700</wp:posOffset>
                </wp:positionH>
                <wp:positionV relativeFrom="paragraph">
                  <wp:posOffset>52705</wp:posOffset>
                </wp:positionV>
                <wp:extent cx="2148840" cy="4310380"/>
                <wp:effectExtent l="0" t="0" r="22860" b="13970"/>
                <wp:wrapSquare wrapText="bothSides"/>
                <wp:docPr id="5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431038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10196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F7" w:rsidRDefault="003061F7" w:rsidP="003061F7">
                            <w:pPr>
                              <w:pStyle w:val="SB-Header"/>
                            </w:pPr>
                            <w:r>
                              <w:t>Review</w:t>
                            </w:r>
                            <w:r>
                              <w:t>er</w:t>
                            </w:r>
                            <w:r>
                              <w:t xml:space="preserve"> Checklist: </w:t>
                            </w:r>
                            <w:r w:rsidRPr="00EE5DD5">
                              <w:t>Logic Model</w:t>
                            </w:r>
                          </w:p>
                          <w:p w:rsidR="003061F7" w:rsidRDefault="003061F7" w:rsidP="003061F7">
                            <w:pPr>
                              <w:pStyle w:val="SB-List"/>
                            </w:pPr>
                            <w:r>
                              <w:t>Both a</w:t>
                            </w:r>
                            <w:r w:rsidRPr="001F4CBD">
                              <w:t xml:space="preserve"> narra</w:t>
                            </w:r>
                            <w:r>
                              <w:t>tive and a graphical display that follows the chain of reasoning are included</w:t>
                            </w:r>
                            <w:r w:rsidRPr="00D42DAB">
                              <w:t>.</w:t>
                            </w:r>
                          </w:p>
                          <w:p w:rsidR="003061F7" w:rsidRDefault="003061F7" w:rsidP="003061F7">
                            <w:pPr>
                              <w:pStyle w:val="SB-List"/>
                            </w:pPr>
                            <w:r>
                              <w:t>The logic model concepts, including all outcomes to be measured, are clearly defined.</w:t>
                            </w:r>
                          </w:p>
                          <w:p w:rsidR="003061F7" w:rsidRDefault="003061F7" w:rsidP="003061F7">
                            <w:pPr>
                              <w:pStyle w:val="SB-List"/>
                            </w:pPr>
                            <w:r>
                              <w:t>How the resources and activities lead to the outcomes is described</w:t>
                            </w:r>
                            <w:r w:rsidRPr="001F4CBD">
                              <w:t>.</w:t>
                            </w:r>
                          </w:p>
                          <w:p w:rsidR="003061F7" w:rsidRDefault="003061F7" w:rsidP="003061F7">
                            <w:pPr>
                              <w:pStyle w:val="SB-List"/>
                            </w:pPr>
                            <w:r>
                              <w:t>O</w:t>
                            </w:r>
                            <w:r w:rsidRPr="001F4CBD">
                              <w:t>nly aspects directly related to the theory of change</w:t>
                            </w:r>
                            <w:r>
                              <w:t xml:space="preserve"> are included</w:t>
                            </w:r>
                            <w:r w:rsidRPr="001F4CBD">
                              <w:t>.</w:t>
                            </w:r>
                          </w:p>
                          <w:p w:rsidR="003061F7" w:rsidRDefault="003061F7" w:rsidP="003061F7">
                            <w:pPr>
                              <w:pStyle w:val="SB-List"/>
                            </w:pPr>
                            <w:r>
                              <w:rPr>
                                <w:rFonts w:cs="Menlo Regular"/>
                              </w:rPr>
                              <w:t>E</w:t>
                            </w:r>
                            <w:r w:rsidRPr="001F4CBD">
                              <w:rPr>
                                <w:rFonts w:cs="Menlo Regular"/>
                              </w:rPr>
                              <w:t>xisting literature</w:t>
                            </w:r>
                            <w:r w:rsidRPr="001F4CBD">
                              <w:t xml:space="preserve"> </w:t>
                            </w:r>
                            <w:r>
                              <w:t>to describe the theoretical or research basis that the model draws upon is included.</w:t>
                            </w:r>
                          </w:p>
                          <w:p w:rsidR="003061F7" w:rsidRDefault="003061F7" w:rsidP="003061F7">
                            <w:pPr>
                              <w:pStyle w:val="SB-List"/>
                            </w:pPr>
                            <w:r>
                              <w:t xml:space="preserve">Existing literature to support the </w:t>
                            </w:r>
                            <w:r w:rsidRPr="008038B3">
                              <w:t>connections between the activities and outcomes</w:t>
                            </w:r>
                            <w:r>
                              <w:t xml:space="preserve"> is used</w:t>
                            </w:r>
                            <w:r w:rsidRPr="008038B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31pt;margin-top:4.15pt;width:169.2pt;height:3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VBJPQIAAHoEAAAOAAAAZHJzL2Uyb0RvYy54bWysVNtu2zAMfR+wfxD0vjhOky416hRdug4D&#10;ugvQ7gMYWY6FyaImKbG7rx8lpWm6PQwY5geBEqlD8hzRl1djr9leOq/Q1LycTDmTRmCjzLbm3x5u&#10;3yw58wFMAxqNrPmj9Pxq9frV5WArOcMOdSMdIxDjq8HWvAvBVkXhRSd78BO00pCzRddDoK3bFo2D&#10;gdB7Xcym0/NiQNdYh0J6T6c32clXCb9tpQhf2tbLwHTNqbaQVpfWTVyL1SVUWwe2U+JQBvxDFT0o&#10;Q0mPUDcQgO2c+gOqV8KhxzZMBPYFtq0SMvVA3ZTT37q578DK1AuR4+2RJv//YMXn/VfHVFPzxTln&#10;BnrS6EGOgb3Dkc0jPYP1FUXdW4oLIx2TzKlVb+9QfPfM4LoDs5XXzuHQSWiovDLeLE6uZhwfQTbD&#10;J2woDewCJqCxdX3kjthghE4yPR6liaUIOpyV8+VyTi5BvvlZOT1bJvEKqJ6uW+fDB4k9i0bNHWmf&#10;4GF/50MsB6qnkJjNo1bNrdI6bdx2s9aO7SG+k/Tlu9p2kE/LaXlxntqiuzk8Yb7A0YYNNb9YzBaZ&#10;or/lyGW9gOhVoInQqq/5MhdCQVBFYt+bJtkBlM429aTNgelIbqY5jJsxaZpkiCpssHkk6h3mAaCB&#10;JaND95OzgR5/zf2PHTjJmf5oSL6Lch65DmkzX7yd0cadejanHjCCoGoeOMvmOuQJ21mnth1lyg/G&#10;4DVJ3qokxnNVh/LpgSc+D8MYJ+h0n6KefxmrXwAAAP//AwBQSwMEFAAGAAgAAAAhAJBpN9bgAAAA&#10;CgEAAA8AAABkcnMvZG93bnJldi54bWxMj8FOwzAQRO9I/IO1SFxQa7egNIQ4FVSCExVQOMDNiZck&#10;wl5Htpumf497guPqrWbelOvJGjaiD70jCYu5AIbUON1TK+Hj/XGWAwtRkVbGEUo4YoB1dX5WqkK7&#10;A73huIstSyEUCiWhi3EoOA9Nh1aFuRuQEvt23qqYTt9y7dUhhVvDl0Jk3KqeUkOnBtx02Pzs9laC&#10;8Nv6ij7D06Zrb/2XeR2fjw8vUl5eTPd3wCJO8e8ZTvpJHarkVLs96cCMhCxbpi1RQn4N7MSFEDfA&#10;6kTy1QJ4VfL/E6pfAAAA//8DAFBLAQItABQABgAIAAAAIQC2gziS/gAAAOEBAAATAAAAAAAAAAAA&#10;AAAAAAAAAABbQ29udGVudF9UeXBlc10ueG1sUEsBAi0AFAAGAAgAAAAhADj9If/WAAAAlAEAAAsA&#10;AAAAAAAAAAAAAAAALwEAAF9yZWxzLy5yZWxzUEsBAi0AFAAGAAgAAAAhAP/VUEk9AgAAegQAAA4A&#10;AAAAAAAAAAAAAAAALgIAAGRycy9lMm9Eb2MueG1sUEsBAi0AFAAGAAgAAAAhAJBpN9bgAAAACgEA&#10;AA8AAAAAAAAAAAAAAAAAlwQAAGRycy9kb3ducmV2LnhtbFBLBQYAAAAABAAEAPMAAACkBQAAAAA=&#10;" fillcolor="black">
                <v:fill opacity="6682f"/>
                <v:textbox>
                  <w:txbxContent>
                    <w:p w:rsidR="003061F7" w:rsidRDefault="003061F7" w:rsidP="003061F7">
                      <w:pPr>
                        <w:pStyle w:val="SB-Header"/>
                      </w:pPr>
                      <w:r>
                        <w:t>Review</w:t>
                      </w:r>
                      <w:r>
                        <w:t>er</w:t>
                      </w:r>
                      <w:r>
                        <w:t xml:space="preserve"> Checklist: </w:t>
                      </w:r>
                      <w:r w:rsidRPr="00EE5DD5">
                        <w:t>Logic Model</w:t>
                      </w:r>
                    </w:p>
                    <w:p w:rsidR="003061F7" w:rsidRDefault="003061F7" w:rsidP="003061F7">
                      <w:pPr>
                        <w:pStyle w:val="SB-List"/>
                      </w:pPr>
                      <w:r>
                        <w:t>Both a</w:t>
                      </w:r>
                      <w:r w:rsidRPr="001F4CBD">
                        <w:t xml:space="preserve"> narra</w:t>
                      </w:r>
                      <w:r>
                        <w:t>tive and a graphical display that follows the chain of reasoning are included</w:t>
                      </w:r>
                      <w:r w:rsidRPr="00D42DAB">
                        <w:t>.</w:t>
                      </w:r>
                    </w:p>
                    <w:p w:rsidR="003061F7" w:rsidRDefault="003061F7" w:rsidP="003061F7">
                      <w:pPr>
                        <w:pStyle w:val="SB-List"/>
                      </w:pPr>
                      <w:r>
                        <w:t>The logic model concepts, including all outcomes to be measured, are clearly defined.</w:t>
                      </w:r>
                    </w:p>
                    <w:p w:rsidR="003061F7" w:rsidRDefault="003061F7" w:rsidP="003061F7">
                      <w:pPr>
                        <w:pStyle w:val="SB-List"/>
                      </w:pPr>
                      <w:r>
                        <w:t>How the resources and activities lead to the outcomes is described</w:t>
                      </w:r>
                      <w:r w:rsidRPr="001F4CBD">
                        <w:t>.</w:t>
                      </w:r>
                    </w:p>
                    <w:p w:rsidR="003061F7" w:rsidRDefault="003061F7" w:rsidP="003061F7">
                      <w:pPr>
                        <w:pStyle w:val="SB-List"/>
                      </w:pPr>
                      <w:r>
                        <w:t>O</w:t>
                      </w:r>
                      <w:r w:rsidRPr="001F4CBD">
                        <w:t>nly aspects directly related to the theory of change</w:t>
                      </w:r>
                      <w:r>
                        <w:t xml:space="preserve"> are included</w:t>
                      </w:r>
                      <w:r w:rsidRPr="001F4CBD">
                        <w:t>.</w:t>
                      </w:r>
                    </w:p>
                    <w:p w:rsidR="003061F7" w:rsidRDefault="003061F7" w:rsidP="003061F7">
                      <w:pPr>
                        <w:pStyle w:val="SB-List"/>
                      </w:pPr>
                      <w:r>
                        <w:rPr>
                          <w:rFonts w:cs="Menlo Regular"/>
                        </w:rPr>
                        <w:t>E</w:t>
                      </w:r>
                      <w:r w:rsidRPr="001F4CBD">
                        <w:rPr>
                          <w:rFonts w:cs="Menlo Regular"/>
                        </w:rPr>
                        <w:t>xisting literature</w:t>
                      </w:r>
                      <w:r w:rsidRPr="001F4CBD">
                        <w:t xml:space="preserve"> </w:t>
                      </w:r>
                      <w:r>
                        <w:t>to describe the theoretical or research basis that the model draws upon is included.</w:t>
                      </w:r>
                    </w:p>
                    <w:p w:rsidR="003061F7" w:rsidRDefault="003061F7" w:rsidP="003061F7">
                      <w:pPr>
                        <w:pStyle w:val="SB-List"/>
                      </w:pPr>
                      <w:r>
                        <w:t xml:space="preserve">Existing literature to support the </w:t>
                      </w:r>
                      <w:r w:rsidRPr="008038B3">
                        <w:t>connections between the activities and outcomes</w:t>
                      </w:r>
                      <w:r>
                        <w:t xml:space="preserve"> is used</w:t>
                      </w:r>
                      <w:r w:rsidRPr="008038B3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Specific Guidance</w:t>
      </w:r>
      <w:bookmarkEnd w:id="1"/>
      <w:r>
        <w:t>: Program Theory and Logic Model</w:t>
      </w:r>
      <w:bookmarkEnd w:id="2"/>
      <w:bookmarkEnd w:id="3"/>
      <w:bookmarkEnd w:id="4"/>
    </w:p>
    <w:p w:rsidR="003061F7" w:rsidRPr="006D48FE" w:rsidRDefault="003061F7" w:rsidP="003061F7">
      <w:pPr>
        <w:pStyle w:val="NewNormal"/>
      </w:pPr>
      <w:r>
        <w:t>The program theory and logic model in the SEP should do the following:</w:t>
      </w:r>
    </w:p>
    <w:p w:rsidR="003061F7" w:rsidRDefault="003061F7" w:rsidP="003061F7">
      <w:pPr>
        <w:pStyle w:val="NewList"/>
        <w:numPr>
          <w:ilvl w:val="0"/>
          <w:numId w:val="4"/>
        </w:numPr>
      </w:pPr>
      <w:r w:rsidRPr="00D42DAB">
        <w:t>Briefl</w:t>
      </w:r>
      <w:r>
        <w:t>y describe</w:t>
      </w:r>
      <w:r w:rsidRPr="00D42DAB">
        <w:t xml:space="preserve"> in the narrative </w:t>
      </w:r>
      <w:r>
        <w:t>the basis for the logic model (</w:t>
      </w:r>
      <w:r w:rsidRPr="00D42DAB">
        <w:t>theory or prior research</w:t>
      </w:r>
      <w:r>
        <w:t>,</w:t>
      </w:r>
      <w:r w:rsidRPr="00D42DAB">
        <w:t xml:space="preserve"> or both</w:t>
      </w:r>
      <w:r>
        <w:t>)</w:t>
      </w:r>
      <w:r w:rsidRPr="00D42DAB">
        <w:t xml:space="preserve"> along with aspects of the model, if any</w:t>
      </w:r>
      <w:r>
        <w:t>,</w:t>
      </w:r>
      <w:r w:rsidRPr="00D42DAB">
        <w:t xml:space="preserve"> which ha</w:t>
      </w:r>
      <w:r>
        <w:t>ve</w:t>
      </w:r>
      <w:r w:rsidRPr="00D42DAB">
        <w:t xml:space="preserve"> been confirmed (or refuted) by previous researc</w:t>
      </w:r>
      <w:r>
        <w:t>h;</w:t>
      </w:r>
    </w:p>
    <w:p w:rsidR="003061F7" w:rsidRPr="006D48FE" w:rsidRDefault="003061F7" w:rsidP="003061F7">
      <w:pPr>
        <w:pStyle w:val="NewList"/>
        <w:numPr>
          <w:ilvl w:val="0"/>
          <w:numId w:val="4"/>
        </w:numPr>
      </w:pPr>
      <w:r>
        <w:t>Ensure good a</w:t>
      </w:r>
      <w:r w:rsidRPr="00963C54">
        <w:t>lignment</w:t>
      </w:r>
      <w:r>
        <w:t xml:space="preserve"> between the logic model elements. </w:t>
      </w:r>
      <w:r w:rsidRPr="006D48FE">
        <w:t>Focus on key factors in the cause-and-effect relationship.</w:t>
      </w:r>
      <w:r>
        <w:t xml:space="preserve"> </w:t>
      </w:r>
      <w:r w:rsidRPr="006D48FE">
        <w:t xml:space="preserve">Think about and describe how the resources/inputs link to the </w:t>
      </w:r>
      <w:r>
        <w:t xml:space="preserve">intervention </w:t>
      </w:r>
      <w:r w:rsidRPr="006D48FE">
        <w:t>and then link to the desired outcomes/results.</w:t>
      </w:r>
      <w:r>
        <w:t xml:space="preserve"> </w:t>
      </w:r>
      <w:r w:rsidRPr="006D48FE">
        <w:t>A logic model graphic is read from left to right and describes the program basics over time.</w:t>
      </w:r>
      <w:r>
        <w:t xml:space="preserve"> </w:t>
      </w:r>
      <w:r w:rsidRPr="006D48FE">
        <w:t>This means following the chain of reasoning or “If...then...” statements</w:t>
      </w:r>
      <w:r>
        <w:t xml:space="preserve"> that</w:t>
      </w:r>
      <w:r w:rsidRPr="006D48FE">
        <w:t xml:space="preserve"> connect the program’s parts</w:t>
      </w:r>
      <w:r>
        <w:t>;</w:t>
      </w:r>
    </w:p>
    <w:p w:rsidR="003061F7" w:rsidRDefault="003061F7" w:rsidP="003061F7">
      <w:pPr>
        <w:pStyle w:val="NewList"/>
        <w:numPr>
          <w:ilvl w:val="0"/>
          <w:numId w:val="4"/>
        </w:numPr>
        <w:rPr>
          <w:rFonts w:eastAsia="MS Gothic" w:cs="Menlo Regular"/>
        </w:rPr>
      </w:pPr>
      <w:r>
        <w:t>D</w:t>
      </w:r>
      <w:r w:rsidRPr="00963C54">
        <w:t>etail the elements of the resources/inputs and articulate the paths through which the services (</w:t>
      </w:r>
      <w:r>
        <w:t xml:space="preserve">the </w:t>
      </w:r>
      <w:r w:rsidRPr="00963C54">
        <w:t>activities</w:t>
      </w:r>
      <w:r>
        <w:t xml:space="preserve"> that constitute the </w:t>
      </w:r>
      <w:r w:rsidRPr="00963C54">
        <w:t>intervention) provided by the SIF subgrantee affect individual outcomes (e.g., employment, health, education).</w:t>
      </w:r>
      <w:r>
        <w:t xml:space="preserve"> </w:t>
      </w:r>
      <w:r w:rsidRPr="00963C54">
        <w:t>Make sure that the activities directly lead to the explanation of short-term outcomes/outputs (e.g., more healthcare) and intermediate-term outcomes (e.g., better health care) that would be necessary to achieve the program’s long-term outcomes/impacts (e.g., better health)</w:t>
      </w:r>
      <w:r>
        <w:t>;</w:t>
      </w:r>
    </w:p>
    <w:p w:rsidR="003061F7" w:rsidRDefault="003061F7" w:rsidP="003061F7">
      <w:pPr>
        <w:pStyle w:val="NewList"/>
        <w:numPr>
          <w:ilvl w:val="0"/>
          <w:numId w:val="4"/>
        </w:numPr>
      </w:pPr>
      <w:r>
        <w:t>Emphasize in the graphic and/or narrative the outcomes that the proposed evaluation will measure; and</w:t>
      </w:r>
    </w:p>
    <w:p w:rsidR="003061F7" w:rsidRDefault="003061F7" w:rsidP="003061F7">
      <w:pPr>
        <w:pStyle w:val="NewList"/>
        <w:numPr>
          <w:ilvl w:val="0"/>
          <w:numId w:val="4"/>
        </w:numPr>
      </w:pPr>
      <w:r w:rsidRPr="00963C54">
        <w:t>Include only information that is directly related to the theory of change.</w:t>
      </w:r>
      <w:r>
        <w:t xml:space="preserve"> </w:t>
      </w:r>
      <w:r w:rsidRPr="00963C54">
        <w:t>Keep the logic model simple to minimize attention to things that cannot be controlled.</w:t>
      </w:r>
    </w:p>
    <w:p w:rsidR="003061F7" w:rsidRDefault="003061F7" w:rsidP="003061F7">
      <w:pPr>
        <w:pStyle w:val="NoSpacing"/>
      </w:pPr>
    </w:p>
    <w:p w:rsidR="003061F7" w:rsidRDefault="003061F7" w:rsidP="003061F7">
      <w:pPr>
        <w:pStyle w:val="ColumnNormal"/>
      </w:pPr>
      <w:r w:rsidRPr="00784BA4">
        <w:t xml:space="preserve">The logic model should ultimately be used to guide the collection of data to inform an assessment of </w:t>
      </w:r>
      <w:r>
        <w:t>program effectiveness</w:t>
      </w:r>
      <w:r w:rsidRPr="00784BA4">
        <w:t>.</w:t>
      </w:r>
      <w:r>
        <w:t xml:space="preserve"> The logic model should</w:t>
      </w:r>
      <w:r w:rsidRPr="00784BA4">
        <w:t xml:space="preserve"> </w:t>
      </w:r>
      <w:r>
        <w:t>emphasize d</w:t>
      </w:r>
      <w:r w:rsidRPr="00784BA4">
        <w:t xml:space="preserve">etails of </w:t>
      </w:r>
      <w:r>
        <w:t>the program</w:t>
      </w:r>
      <w:r w:rsidRPr="00784BA4">
        <w:t xml:space="preserve"> that directly relate to the core aspects of the </w:t>
      </w:r>
      <w:r>
        <w:t>evaluation</w:t>
      </w:r>
      <w:r w:rsidRPr="00784BA4">
        <w:t>.</w:t>
      </w:r>
    </w:p>
    <w:p w:rsidR="003061F7" w:rsidRDefault="003061F7">
      <w:pPr>
        <w:sectPr w:rsidR="003061F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61F7" w:rsidRPr="00937406" w:rsidRDefault="003061F7" w:rsidP="003061F7">
      <w:pPr>
        <w:pStyle w:val="Heading2"/>
      </w:pPr>
      <w:bookmarkStart w:id="5" w:name="_Toc354996305"/>
      <w:bookmarkStart w:id="6" w:name="_Toc395880655"/>
      <w:r w:rsidRPr="00FC2611">
        <w:lastRenderedPageBreak/>
        <w:t>Logic Model Example</w:t>
      </w:r>
      <w:bookmarkEnd w:id="5"/>
      <w:bookmarkEnd w:id="6"/>
    </w:p>
    <w:p w:rsidR="003061F7" w:rsidRDefault="003061F7" w:rsidP="003061F7">
      <w:pPr>
        <w:pStyle w:val="Heading3"/>
      </w:pPr>
      <w:bookmarkStart w:id="7" w:name="_Toc395880656"/>
      <w:r>
        <w:t>Sample Logic Model: Sample Program, College Preparation “Go College!”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2596"/>
        <w:gridCol w:w="2595"/>
        <w:gridCol w:w="2596"/>
        <w:gridCol w:w="2596"/>
      </w:tblGrid>
      <w:tr w:rsidR="003061F7" w:rsidTr="00E02FAF">
        <w:tc>
          <w:tcPr>
            <w:tcW w:w="2595" w:type="dxa"/>
          </w:tcPr>
          <w:p w:rsidR="003061F7" w:rsidRPr="00B77B39" w:rsidRDefault="003061F7" w:rsidP="00E02FAF">
            <w:pPr>
              <w:pStyle w:val="APSANormal"/>
            </w:pPr>
            <w:r w:rsidRPr="00D7795E">
              <w:rPr>
                <w:rFonts w:cstheme="minorBidi"/>
              </w:rPr>
              <w:br w:type="page"/>
            </w:r>
            <w:r w:rsidRPr="00B77B39">
              <w:t>Inputs</w:t>
            </w:r>
          </w:p>
        </w:tc>
        <w:tc>
          <w:tcPr>
            <w:tcW w:w="2596" w:type="dxa"/>
          </w:tcPr>
          <w:p w:rsidR="003061F7" w:rsidRPr="00D7795E" w:rsidRDefault="003061F7" w:rsidP="00E02FAF">
            <w:pPr>
              <w:pStyle w:val="APSANormal"/>
            </w:pPr>
            <w:r w:rsidRPr="00D7795E">
              <w:t>Activities</w:t>
            </w:r>
          </w:p>
        </w:tc>
        <w:tc>
          <w:tcPr>
            <w:tcW w:w="2595" w:type="dxa"/>
          </w:tcPr>
          <w:p w:rsidR="003061F7" w:rsidRPr="00D7795E" w:rsidRDefault="003061F7" w:rsidP="00E02FAF">
            <w:pPr>
              <w:pStyle w:val="APSANormal"/>
            </w:pPr>
            <w:r w:rsidRPr="00D7795E">
              <w:t>Outputs</w:t>
            </w:r>
          </w:p>
        </w:tc>
        <w:tc>
          <w:tcPr>
            <w:tcW w:w="2596" w:type="dxa"/>
          </w:tcPr>
          <w:p w:rsidR="003061F7" w:rsidRPr="00D7795E" w:rsidRDefault="003061F7" w:rsidP="00E02FAF">
            <w:pPr>
              <w:pStyle w:val="APSANormal"/>
            </w:pPr>
            <w:r w:rsidRPr="00D7795E">
              <w:t>Outcomes</w:t>
            </w:r>
          </w:p>
        </w:tc>
        <w:tc>
          <w:tcPr>
            <w:tcW w:w="2596" w:type="dxa"/>
          </w:tcPr>
          <w:p w:rsidR="003061F7" w:rsidRPr="00D7795E" w:rsidRDefault="003061F7" w:rsidP="00E02FAF">
            <w:pPr>
              <w:pStyle w:val="APSANormal"/>
            </w:pPr>
            <w:r w:rsidRPr="00D7795E">
              <w:t>Impacts</w:t>
            </w:r>
          </w:p>
        </w:tc>
      </w:tr>
      <w:tr w:rsidR="003061F7" w:rsidTr="00E02FAF">
        <w:trPr>
          <w:trHeight w:val="6281"/>
        </w:trPr>
        <w:tc>
          <w:tcPr>
            <w:tcW w:w="2595" w:type="dxa"/>
          </w:tcPr>
          <w:p w:rsidR="003061F7" w:rsidRPr="00D7795E" w:rsidRDefault="003061F7" w:rsidP="00E02FAF">
            <w:r w:rsidRPr="00D7795E">
              <w:t>Collaborating schools and staff</w:t>
            </w:r>
          </w:p>
          <w:p w:rsidR="003061F7" w:rsidRPr="00D7795E" w:rsidRDefault="003061F7" w:rsidP="00E02FAF">
            <w:r w:rsidRPr="00D7795E">
              <w:t>Go College! board</w:t>
            </w:r>
          </w:p>
          <w:p w:rsidR="003061F7" w:rsidRPr="00D7795E" w:rsidRDefault="003061F7" w:rsidP="00E02FAF">
            <w:r w:rsidRPr="00D7795E">
              <w:t>Go College! leaders and national staff</w:t>
            </w:r>
          </w:p>
          <w:p w:rsidR="003061F7" w:rsidRPr="00D7795E" w:rsidRDefault="003061F7" w:rsidP="00E02FAF">
            <w:r w:rsidRPr="00D7795E">
              <w:t>Financial support for Go College! from foundations, private individuals, businesses, and government</w:t>
            </w:r>
          </w:p>
          <w:p w:rsidR="003061F7" w:rsidRPr="00D7795E" w:rsidRDefault="003061F7" w:rsidP="00E02FAF">
            <w:r w:rsidRPr="00D7795E">
              <w:t>Data system to track students’ progress and provide ongoing feedback</w:t>
            </w:r>
          </w:p>
        </w:tc>
        <w:tc>
          <w:tcPr>
            <w:tcW w:w="2596" w:type="dxa"/>
          </w:tcPr>
          <w:p w:rsidR="003061F7" w:rsidRPr="00D7795E" w:rsidRDefault="003061F7" w:rsidP="00E02FAF">
            <w:r w:rsidRPr="00D7795E">
              <w:t>Quarterly leadership workshops for peer leaders</w:t>
            </w:r>
          </w:p>
          <w:p w:rsidR="003061F7" w:rsidRDefault="003061F7" w:rsidP="00E02FAF">
            <w:r w:rsidRPr="00D7795E">
              <w:t>Tailored professional development for teachers and counselors</w:t>
            </w:r>
          </w:p>
          <w:p w:rsidR="003061F7" w:rsidRPr="00D7795E" w:rsidRDefault="003061F7" w:rsidP="00E02FAF">
            <w:r w:rsidRPr="00D7795E">
              <w:t>Year-long class for seniors on college/ postsecondary planning</w:t>
            </w:r>
          </w:p>
          <w:p w:rsidR="003061F7" w:rsidRDefault="003061F7" w:rsidP="00E02FAF"/>
          <w:p w:rsidR="003061F7" w:rsidRPr="00D7795E" w:rsidRDefault="003061F7" w:rsidP="00E02FAF">
            <w:r w:rsidRPr="00D7795E">
              <w:t>Go College! program for ninth through eleventh-graders</w:t>
            </w:r>
          </w:p>
        </w:tc>
        <w:tc>
          <w:tcPr>
            <w:tcW w:w="2595" w:type="dxa"/>
          </w:tcPr>
          <w:p w:rsidR="003061F7" w:rsidRPr="00162AEF" w:rsidRDefault="003061F7" w:rsidP="00E02FAF">
            <w:r w:rsidRPr="00FC2611">
              <w:t>30 Peer leaders trained</w:t>
            </w:r>
          </w:p>
          <w:p w:rsidR="003061F7" w:rsidRDefault="003061F7" w:rsidP="00E02FAF"/>
          <w:p w:rsidR="003061F7" w:rsidRPr="00162AEF" w:rsidRDefault="003061F7" w:rsidP="00E02FAF">
            <w:r w:rsidRPr="00FC2611">
              <w:t>30 Teachers and counselors receive 40 hours of professional development</w:t>
            </w:r>
          </w:p>
          <w:p w:rsidR="003061F7" w:rsidRPr="00162AEF" w:rsidRDefault="003061F7" w:rsidP="00E02FAF">
            <w:r w:rsidRPr="00FC2611">
              <w:t>200 seniors attend the year-long class</w:t>
            </w:r>
          </w:p>
          <w:p w:rsidR="003061F7" w:rsidRDefault="003061F7" w:rsidP="00E02FAF"/>
          <w:p w:rsidR="003061F7" w:rsidRPr="00162AEF" w:rsidRDefault="003061F7" w:rsidP="00E02FAF">
            <w:r w:rsidRPr="00FC2611">
              <w:t>600 ninth through eleventh graders participate in the Go College! programming</w:t>
            </w:r>
          </w:p>
        </w:tc>
        <w:tc>
          <w:tcPr>
            <w:tcW w:w="2596" w:type="dxa"/>
          </w:tcPr>
          <w:p w:rsidR="003061F7" w:rsidRPr="00D7795E" w:rsidRDefault="003061F7" w:rsidP="00E02FAF">
            <w:r w:rsidRPr="00D7795E">
              <w:t>Staff and students increase expectations for students’ high school academic achievement</w:t>
            </w:r>
          </w:p>
          <w:p w:rsidR="003061F7" w:rsidRPr="00D7795E" w:rsidRDefault="003061F7" w:rsidP="00E02FAF">
            <w:r w:rsidRPr="00D7795E">
              <w:t>Staff and students increase expectations for postsecondary education</w:t>
            </w:r>
          </w:p>
          <w:p w:rsidR="003061F7" w:rsidRPr="00D7795E" w:rsidRDefault="003061F7" w:rsidP="00E02FAF">
            <w:r w:rsidRPr="00D7795E">
              <w:t>Seniors gain knowledge about the college application and enrollment process</w:t>
            </w:r>
          </w:p>
          <w:p w:rsidR="003061F7" w:rsidRPr="00D7795E" w:rsidRDefault="003061F7" w:rsidP="00E02FAF">
            <w:pPr>
              <w:pStyle w:val="APSANormal"/>
            </w:pPr>
          </w:p>
        </w:tc>
        <w:tc>
          <w:tcPr>
            <w:tcW w:w="2596" w:type="dxa"/>
          </w:tcPr>
          <w:p w:rsidR="003061F7" w:rsidRDefault="003061F7" w:rsidP="00E02FAF">
            <w:r w:rsidRPr="00D7795E">
              <w:t>School-wide college-going culture that looks beyond high school graduation</w:t>
            </w:r>
          </w:p>
          <w:p w:rsidR="003061F7" w:rsidRDefault="003061F7" w:rsidP="00E02FAF">
            <w:r w:rsidRPr="00D7795E">
              <w:t>Increase in completed college applications and in other milestones in the college application process</w:t>
            </w:r>
          </w:p>
          <w:p w:rsidR="003061F7" w:rsidRDefault="003061F7" w:rsidP="00E02FAF">
            <w:r w:rsidRPr="00D7795E">
              <w:t>Increase in high school attendance, persistence, and graduation</w:t>
            </w:r>
          </w:p>
          <w:p w:rsidR="003061F7" w:rsidRPr="00D7795E" w:rsidRDefault="003061F7" w:rsidP="00E02FAF">
            <w:r w:rsidRPr="00D7795E">
              <w:t>Increase in college enrollment and success</w:t>
            </w:r>
          </w:p>
        </w:tc>
      </w:tr>
    </w:tbl>
    <w:p w:rsidR="0088782A" w:rsidRDefault="003061F7">
      <w:bookmarkStart w:id="8" w:name="_GoBack"/>
      <w:bookmarkEnd w:id="8"/>
    </w:p>
    <w:sectPr w:rsidR="0088782A" w:rsidSect="003061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4AA5"/>
    <w:multiLevelType w:val="hybridMultilevel"/>
    <w:tmpl w:val="235C0B8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41DB25A5"/>
    <w:multiLevelType w:val="hybridMultilevel"/>
    <w:tmpl w:val="CCF21ED6"/>
    <w:lvl w:ilvl="0" w:tplc="7CA2D478">
      <w:start w:val="1"/>
      <w:numFmt w:val="bullet"/>
      <w:pStyle w:val="NewLis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62F94457"/>
    <w:multiLevelType w:val="hybridMultilevel"/>
    <w:tmpl w:val="E2488D72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7E747934"/>
    <w:multiLevelType w:val="hybridMultilevel"/>
    <w:tmpl w:val="63F40E40"/>
    <w:lvl w:ilvl="0" w:tplc="27AAFCF2">
      <w:start w:val="1"/>
      <w:numFmt w:val="bullet"/>
      <w:pStyle w:val="SB-List"/>
      <w:lvlText w:val="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F7"/>
    <w:rsid w:val="00027675"/>
    <w:rsid w:val="003061F7"/>
    <w:rsid w:val="0095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3061F7"/>
    <w:pPr>
      <w:spacing w:after="240" w:line="240" w:lineRule="auto"/>
      <w:ind w:right="2880"/>
      <w:outlineLvl w:val="0"/>
    </w:pPr>
    <w:rPr>
      <w:rFonts w:ascii="Cambria" w:eastAsia="Calibri" w:hAnsi="Cambria" w:cs="Times New Roman"/>
      <w:b/>
      <w:noProof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61F7"/>
    <w:pPr>
      <w:tabs>
        <w:tab w:val="left" w:pos="0"/>
      </w:tabs>
      <w:spacing w:after="240" w:line="240" w:lineRule="auto"/>
      <w:ind w:right="2880"/>
      <w:outlineLvl w:val="1"/>
    </w:pPr>
    <w:rPr>
      <w:rFonts w:ascii="Cambria" w:eastAsia="Calibri" w:hAnsi="Cambria" w:cs="Times New Roman"/>
      <w:b/>
      <w:noProof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61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061F7"/>
    <w:rPr>
      <w:rFonts w:ascii="Cambria" w:eastAsia="Calibri" w:hAnsi="Cambria" w:cs="Times New Roman"/>
      <w:b/>
      <w:noProof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rsid w:val="003061F7"/>
    <w:rPr>
      <w:rFonts w:ascii="Cambria" w:eastAsia="Calibri" w:hAnsi="Cambria" w:cs="Times New Roman"/>
      <w:b/>
      <w:noProof/>
      <w:sz w:val="28"/>
      <w:szCs w:val="32"/>
    </w:rPr>
  </w:style>
  <w:style w:type="character" w:styleId="Hyperlink">
    <w:name w:val="Hyperlink"/>
    <w:basedOn w:val="DefaultParagraphFont"/>
    <w:uiPriority w:val="99"/>
    <w:rsid w:val="003061F7"/>
    <w:rPr>
      <w:rFonts w:cs="Times New Roman"/>
      <w:color w:val="0F06BA"/>
      <w:u w:val="single"/>
    </w:rPr>
  </w:style>
  <w:style w:type="paragraph" w:customStyle="1" w:styleId="SB-List">
    <w:name w:val="SB-List"/>
    <w:basedOn w:val="ListParagraph"/>
    <w:link w:val="SB-ListChar"/>
    <w:uiPriority w:val="99"/>
    <w:rsid w:val="003061F7"/>
    <w:pPr>
      <w:widowControl w:val="0"/>
      <w:numPr>
        <w:numId w:val="1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240" w:lineRule="auto"/>
      <w:ind w:left="450" w:right="180" w:hanging="450"/>
      <w:contextualSpacing w:val="0"/>
    </w:pPr>
    <w:rPr>
      <w:rFonts w:ascii="Arial" w:eastAsia="MS Gothic" w:hAnsi="Arial" w:cs="Arial"/>
      <w:noProof/>
      <w:color w:val="000000"/>
      <w:sz w:val="20"/>
      <w:szCs w:val="18"/>
    </w:rPr>
  </w:style>
  <w:style w:type="paragraph" w:customStyle="1" w:styleId="SB-Header">
    <w:name w:val="SB-Header"/>
    <w:basedOn w:val="Normal"/>
    <w:link w:val="SB-HeaderChar"/>
    <w:uiPriority w:val="99"/>
    <w:rsid w:val="003061F7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10" w:after="220" w:line="240" w:lineRule="auto"/>
      <w:ind w:right="180"/>
    </w:pPr>
    <w:rPr>
      <w:rFonts w:ascii="Arial" w:eastAsia="MS Gothic" w:hAnsi="Arial" w:cs="Arial"/>
      <w:b/>
      <w:bCs/>
      <w:noProof/>
      <w:color w:val="000000"/>
      <w:sz w:val="24"/>
      <w:szCs w:val="24"/>
    </w:rPr>
  </w:style>
  <w:style w:type="character" w:customStyle="1" w:styleId="SB-ListChar">
    <w:name w:val="SB-List Char"/>
    <w:basedOn w:val="DefaultParagraphFont"/>
    <w:link w:val="SB-List"/>
    <w:uiPriority w:val="99"/>
    <w:locked/>
    <w:rsid w:val="003061F7"/>
    <w:rPr>
      <w:rFonts w:ascii="Arial" w:eastAsia="MS Gothic" w:hAnsi="Arial" w:cs="Arial"/>
      <w:noProof/>
      <w:color w:val="000000"/>
      <w:sz w:val="20"/>
      <w:szCs w:val="18"/>
    </w:rPr>
  </w:style>
  <w:style w:type="paragraph" w:customStyle="1" w:styleId="SB-Normal">
    <w:name w:val="SB-Normal"/>
    <w:basedOn w:val="Normal"/>
    <w:link w:val="SB-NormalChar"/>
    <w:uiPriority w:val="99"/>
    <w:rsid w:val="003061F7"/>
    <w:pPr>
      <w:widowControl w:val="0"/>
      <w:autoSpaceDE w:val="0"/>
      <w:autoSpaceDN w:val="0"/>
      <w:adjustRightInd w:val="0"/>
      <w:snapToGrid w:val="0"/>
      <w:spacing w:after="0" w:line="240" w:lineRule="auto"/>
      <w:ind w:right="180"/>
    </w:pPr>
    <w:rPr>
      <w:rFonts w:ascii="Arial" w:eastAsia="Calibri" w:hAnsi="Arial" w:cs="Arial"/>
      <w:noProof/>
      <w:color w:val="000000"/>
      <w:sz w:val="20"/>
      <w:szCs w:val="24"/>
    </w:rPr>
  </w:style>
  <w:style w:type="character" w:customStyle="1" w:styleId="SB-HeaderChar">
    <w:name w:val="SB-Header Char"/>
    <w:basedOn w:val="DefaultParagraphFont"/>
    <w:link w:val="SB-Header"/>
    <w:uiPriority w:val="99"/>
    <w:locked/>
    <w:rsid w:val="003061F7"/>
    <w:rPr>
      <w:rFonts w:ascii="Arial" w:eastAsia="MS Gothic" w:hAnsi="Arial" w:cs="Arial"/>
      <w:b/>
      <w:bCs/>
      <w:noProof/>
      <w:color w:val="000000"/>
      <w:sz w:val="24"/>
      <w:szCs w:val="24"/>
    </w:rPr>
  </w:style>
  <w:style w:type="character" w:customStyle="1" w:styleId="SB-NormalChar">
    <w:name w:val="SB-Normal Char"/>
    <w:basedOn w:val="DefaultParagraphFont"/>
    <w:link w:val="SB-Normal"/>
    <w:uiPriority w:val="99"/>
    <w:locked/>
    <w:rsid w:val="003061F7"/>
    <w:rPr>
      <w:rFonts w:ascii="Arial" w:eastAsia="Calibri" w:hAnsi="Arial" w:cs="Arial"/>
      <w:noProof/>
      <w:color w:val="000000"/>
      <w:sz w:val="20"/>
      <w:szCs w:val="24"/>
    </w:rPr>
  </w:style>
  <w:style w:type="paragraph" w:customStyle="1" w:styleId="NewNormal">
    <w:name w:val="New Normal"/>
    <w:basedOn w:val="Normal"/>
    <w:link w:val="NewNormalChar"/>
    <w:rsid w:val="003061F7"/>
    <w:pPr>
      <w:spacing w:after="240" w:line="240" w:lineRule="auto"/>
      <w:ind w:right="2880"/>
    </w:pPr>
    <w:rPr>
      <w:rFonts w:ascii="Times New Roman" w:eastAsia="Calibri" w:hAnsi="Times New Roman" w:cs="Times New Roman"/>
      <w:noProof/>
      <w:sz w:val="24"/>
      <w:szCs w:val="24"/>
    </w:rPr>
  </w:style>
  <w:style w:type="paragraph" w:customStyle="1" w:styleId="NewList">
    <w:name w:val="New List"/>
    <w:basedOn w:val="ListParagraph"/>
    <w:link w:val="NewListChar"/>
    <w:rsid w:val="003061F7"/>
    <w:pPr>
      <w:numPr>
        <w:numId w:val="2"/>
      </w:numPr>
      <w:spacing w:after="240" w:line="240" w:lineRule="auto"/>
      <w:ind w:left="720" w:right="2880"/>
    </w:pPr>
    <w:rPr>
      <w:rFonts w:ascii="Times New Roman" w:eastAsia="Calibri" w:hAnsi="Times New Roman" w:cs="Times New Roman"/>
      <w:noProof/>
      <w:sz w:val="24"/>
      <w:szCs w:val="24"/>
    </w:rPr>
  </w:style>
  <w:style w:type="character" w:customStyle="1" w:styleId="NewNormalChar">
    <w:name w:val="New Normal Char"/>
    <w:basedOn w:val="DefaultParagraphFont"/>
    <w:link w:val="NewNormal"/>
    <w:locked/>
    <w:rsid w:val="003061F7"/>
    <w:rPr>
      <w:rFonts w:ascii="Times New Roman" w:eastAsia="Calibri" w:hAnsi="Times New Roman" w:cs="Times New Roman"/>
      <w:noProof/>
      <w:sz w:val="24"/>
      <w:szCs w:val="24"/>
    </w:rPr>
  </w:style>
  <w:style w:type="character" w:customStyle="1" w:styleId="NewListChar">
    <w:name w:val="New List Char"/>
    <w:basedOn w:val="DefaultParagraphFont"/>
    <w:link w:val="NewList"/>
    <w:locked/>
    <w:rsid w:val="003061F7"/>
    <w:rPr>
      <w:rFonts w:ascii="Times New Roman" w:eastAsia="Calibri" w:hAnsi="Times New Roman" w:cs="Times New Roman"/>
      <w:noProof/>
      <w:sz w:val="24"/>
      <w:szCs w:val="24"/>
    </w:rPr>
  </w:style>
  <w:style w:type="paragraph" w:customStyle="1" w:styleId="ColumnNormal">
    <w:name w:val="Column Normal"/>
    <w:basedOn w:val="NewNormal"/>
    <w:link w:val="ColumnNormalChar"/>
    <w:qFormat/>
    <w:rsid w:val="003061F7"/>
  </w:style>
  <w:style w:type="character" w:customStyle="1" w:styleId="ColumnNormalChar">
    <w:name w:val="Column Normal Char"/>
    <w:basedOn w:val="NewNormalChar"/>
    <w:link w:val="ColumnNormal"/>
    <w:rsid w:val="003061F7"/>
    <w:rPr>
      <w:rFonts w:ascii="Times New Roman" w:eastAsia="Calibri" w:hAnsi="Times New Roman" w:cs="Times New Roman"/>
      <w:noProof/>
      <w:sz w:val="24"/>
      <w:szCs w:val="24"/>
    </w:rPr>
  </w:style>
  <w:style w:type="paragraph" w:styleId="NoSpacing">
    <w:name w:val="No Spacing"/>
    <w:uiPriority w:val="1"/>
    <w:qFormat/>
    <w:rsid w:val="003061F7"/>
    <w:pPr>
      <w:spacing w:after="0" w:line="240" w:lineRule="auto"/>
      <w:ind w:right="180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3061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061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PSANormal">
    <w:name w:val="A. PSA Normal"/>
    <w:basedOn w:val="Normal"/>
    <w:link w:val="APSANormalChar"/>
    <w:rsid w:val="003061F7"/>
    <w:pPr>
      <w:spacing w:after="0" w:line="240" w:lineRule="auto"/>
      <w:ind w:right="180"/>
    </w:pPr>
    <w:rPr>
      <w:rFonts w:ascii="Times New Roman" w:eastAsia="Calibri" w:hAnsi="Times New Roman" w:cs="Times New Roman"/>
      <w:noProof/>
      <w:sz w:val="24"/>
      <w:szCs w:val="24"/>
      <w:lang w:eastAsia="ko-KR" w:bidi="en-US"/>
    </w:rPr>
  </w:style>
  <w:style w:type="character" w:customStyle="1" w:styleId="APSANormalChar">
    <w:name w:val="A. PSA Normal Char"/>
    <w:basedOn w:val="DefaultParagraphFont"/>
    <w:link w:val="APSANormal"/>
    <w:rsid w:val="003061F7"/>
    <w:rPr>
      <w:rFonts w:ascii="Times New Roman" w:eastAsia="Calibri" w:hAnsi="Times New Roman" w:cs="Times New Roman"/>
      <w:noProof/>
      <w:sz w:val="24"/>
      <w:szCs w:val="24"/>
      <w:lang w:eastAsia="ko-KR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3061F7"/>
    <w:pPr>
      <w:spacing w:after="240" w:line="240" w:lineRule="auto"/>
      <w:ind w:right="2880"/>
      <w:outlineLvl w:val="0"/>
    </w:pPr>
    <w:rPr>
      <w:rFonts w:ascii="Cambria" w:eastAsia="Calibri" w:hAnsi="Cambria" w:cs="Times New Roman"/>
      <w:b/>
      <w:noProof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61F7"/>
    <w:pPr>
      <w:tabs>
        <w:tab w:val="left" w:pos="0"/>
      </w:tabs>
      <w:spacing w:after="240" w:line="240" w:lineRule="auto"/>
      <w:ind w:right="2880"/>
      <w:outlineLvl w:val="1"/>
    </w:pPr>
    <w:rPr>
      <w:rFonts w:ascii="Cambria" w:eastAsia="Calibri" w:hAnsi="Cambria" w:cs="Times New Roman"/>
      <w:b/>
      <w:noProof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61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061F7"/>
    <w:rPr>
      <w:rFonts w:ascii="Cambria" w:eastAsia="Calibri" w:hAnsi="Cambria" w:cs="Times New Roman"/>
      <w:b/>
      <w:noProof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rsid w:val="003061F7"/>
    <w:rPr>
      <w:rFonts w:ascii="Cambria" w:eastAsia="Calibri" w:hAnsi="Cambria" w:cs="Times New Roman"/>
      <w:b/>
      <w:noProof/>
      <w:sz w:val="28"/>
      <w:szCs w:val="32"/>
    </w:rPr>
  </w:style>
  <w:style w:type="character" w:styleId="Hyperlink">
    <w:name w:val="Hyperlink"/>
    <w:basedOn w:val="DefaultParagraphFont"/>
    <w:uiPriority w:val="99"/>
    <w:rsid w:val="003061F7"/>
    <w:rPr>
      <w:rFonts w:cs="Times New Roman"/>
      <w:color w:val="0F06BA"/>
      <w:u w:val="single"/>
    </w:rPr>
  </w:style>
  <w:style w:type="paragraph" w:customStyle="1" w:styleId="SB-List">
    <w:name w:val="SB-List"/>
    <w:basedOn w:val="ListParagraph"/>
    <w:link w:val="SB-ListChar"/>
    <w:uiPriority w:val="99"/>
    <w:rsid w:val="003061F7"/>
    <w:pPr>
      <w:widowControl w:val="0"/>
      <w:numPr>
        <w:numId w:val="1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240" w:lineRule="auto"/>
      <w:ind w:left="450" w:right="180" w:hanging="450"/>
      <w:contextualSpacing w:val="0"/>
    </w:pPr>
    <w:rPr>
      <w:rFonts w:ascii="Arial" w:eastAsia="MS Gothic" w:hAnsi="Arial" w:cs="Arial"/>
      <w:noProof/>
      <w:color w:val="000000"/>
      <w:sz w:val="20"/>
      <w:szCs w:val="18"/>
    </w:rPr>
  </w:style>
  <w:style w:type="paragraph" w:customStyle="1" w:styleId="SB-Header">
    <w:name w:val="SB-Header"/>
    <w:basedOn w:val="Normal"/>
    <w:link w:val="SB-HeaderChar"/>
    <w:uiPriority w:val="99"/>
    <w:rsid w:val="003061F7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10" w:after="220" w:line="240" w:lineRule="auto"/>
      <w:ind w:right="180"/>
    </w:pPr>
    <w:rPr>
      <w:rFonts w:ascii="Arial" w:eastAsia="MS Gothic" w:hAnsi="Arial" w:cs="Arial"/>
      <w:b/>
      <w:bCs/>
      <w:noProof/>
      <w:color w:val="000000"/>
      <w:sz w:val="24"/>
      <w:szCs w:val="24"/>
    </w:rPr>
  </w:style>
  <w:style w:type="character" w:customStyle="1" w:styleId="SB-ListChar">
    <w:name w:val="SB-List Char"/>
    <w:basedOn w:val="DefaultParagraphFont"/>
    <w:link w:val="SB-List"/>
    <w:uiPriority w:val="99"/>
    <w:locked/>
    <w:rsid w:val="003061F7"/>
    <w:rPr>
      <w:rFonts w:ascii="Arial" w:eastAsia="MS Gothic" w:hAnsi="Arial" w:cs="Arial"/>
      <w:noProof/>
      <w:color w:val="000000"/>
      <w:sz w:val="20"/>
      <w:szCs w:val="18"/>
    </w:rPr>
  </w:style>
  <w:style w:type="paragraph" w:customStyle="1" w:styleId="SB-Normal">
    <w:name w:val="SB-Normal"/>
    <w:basedOn w:val="Normal"/>
    <w:link w:val="SB-NormalChar"/>
    <w:uiPriority w:val="99"/>
    <w:rsid w:val="003061F7"/>
    <w:pPr>
      <w:widowControl w:val="0"/>
      <w:autoSpaceDE w:val="0"/>
      <w:autoSpaceDN w:val="0"/>
      <w:adjustRightInd w:val="0"/>
      <w:snapToGrid w:val="0"/>
      <w:spacing w:after="0" w:line="240" w:lineRule="auto"/>
      <w:ind w:right="180"/>
    </w:pPr>
    <w:rPr>
      <w:rFonts w:ascii="Arial" w:eastAsia="Calibri" w:hAnsi="Arial" w:cs="Arial"/>
      <w:noProof/>
      <w:color w:val="000000"/>
      <w:sz w:val="20"/>
      <w:szCs w:val="24"/>
    </w:rPr>
  </w:style>
  <w:style w:type="character" w:customStyle="1" w:styleId="SB-HeaderChar">
    <w:name w:val="SB-Header Char"/>
    <w:basedOn w:val="DefaultParagraphFont"/>
    <w:link w:val="SB-Header"/>
    <w:uiPriority w:val="99"/>
    <w:locked/>
    <w:rsid w:val="003061F7"/>
    <w:rPr>
      <w:rFonts w:ascii="Arial" w:eastAsia="MS Gothic" w:hAnsi="Arial" w:cs="Arial"/>
      <w:b/>
      <w:bCs/>
      <w:noProof/>
      <w:color w:val="000000"/>
      <w:sz w:val="24"/>
      <w:szCs w:val="24"/>
    </w:rPr>
  </w:style>
  <w:style w:type="character" w:customStyle="1" w:styleId="SB-NormalChar">
    <w:name w:val="SB-Normal Char"/>
    <w:basedOn w:val="DefaultParagraphFont"/>
    <w:link w:val="SB-Normal"/>
    <w:uiPriority w:val="99"/>
    <w:locked/>
    <w:rsid w:val="003061F7"/>
    <w:rPr>
      <w:rFonts w:ascii="Arial" w:eastAsia="Calibri" w:hAnsi="Arial" w:cs="Arial"/>
      <w:noProof/>
      <w:color w:val="000000"/>
      <w:sz w:val="20"/>
      <w:szCs w:val="24"/>
    </w:rPr>
  </w:style>
  <w:style w:type="paragraph" w:customStyle="1" w:styleId="NewNormal">
    <w:name w:val="New Normal"/>
    <w:basedOn w:val="Normal"/>
    <w:link w:val="NewNormalChar"/>
    <w:rsid w:val="003061F7"/>
    <w:pPr>
      <w:spacing w:after="240" w:line="240" w:lineRule="auto"/>
      <w:ind w:right="2880"/>
    </w:pPr>
    <w:rPr>
      <w:rFonts w:ascii="Times New Roman" w:eastAsia="Calibri" w:hAnsi="Times New Roman" w:cs="Times New Roman"/>
      <w:noProof/>
      <w:sz w:val="24"/>
      <w:szCs w:val="24"/>
    </w:rPr>
  </w:style>
  <w:style w:type="paragraph" w:customStyle="1" w:styleId="NewList">
    <w:name w:val="New List"/>
    <w:basedOn w:val="ListParagraph"/>
    <w:link w:val="NewListChar"/>
    <w:rsid w:val="003061F7"/>
    <w:pPr>
      <w:numPr>
        <w:numId w:val="2"/>
      </w:numPr>
      <w:spacing w:after="240" w:line="240" w:lineRule="auto"/>
      <w:ind w:left="720" w:right="2880"/>
    </w:pPr>
    <w:rPr>
      <w:rFonts w:ascii="Times New Roman" w:eastAsia="Calibri" w:hAnsi="Times New Roman" w:cs="Times New Roman"/>
      <w:noProof/>
      <w:sz w:val="24"/>
      <w:szCs w:val="24"/>
    </w:rPr>
  </w:style>
  <w:style w:type="character" w:customStyle="1" w:styleId="NewNormalChar">
    <w:name w:val="New Normal Char"/>
    <w:basedOn w:val="DefaultParagraphFont"/>
    <w:link w:val="NewNormal"/>
    <w:locked/>
    <w:rsid w:val="003061F7"/>
    <w:rPr>
      <w:rFonts w:ascii="Times New Roman" w:eastAsia="Calibri" w:hAnsi="Times New Roman" w:cs="Times New Roman"/>
      <w:noProof/>
      <w:sz w:val="24"/>
      <w:szCs w:val="24"/>
    </w:rPr>
  </w:style>
  <w:style w:type="character" w:customStyle="1" w:styleId="NewListChar">
    <w:name w:val="New List Char"/>
    <w:basedOn w:val="DefaultParagraphFont"/>
    <w:link w:val="NewList"/>
    <w:locked/>
    <w:rsid w:val="003061F7"/>
    <w:rPr>
      <w:rFonts w:ascii="Times New Roman" w:eastAsia="Calibri" w:hAnsi="Times New Roman" w:cs="Times New Roman"/>
      <w:noProof/>
      <w:sz w:val="24"/>
      <w:szCs w:val="24"/>
    </w:rPr>
  </w:style>
  <w:style w:type="paragraph" w:customStyle="1" w:styleId="ColumnNormal">
    <w:name w:val="Column Normal"/>
    <w:basedOn w:val="NewNormal"/>
    <w:link w:val="ColumnNormalChar"/>
    <w:qFormat/>
    <w:rsid w:val="003061F7"/>
  </w:style>
  <w:style w:type="character" w:customStyle="1" w:styleId="ColumnNormalChar">
    <w:name w:val="Column Normal Char"/>
    <w:basedOn w:val="NewNormalChar"/>
    <w:link w:val="ColumnNormal"/>
    <w:rsid w:val="003061F7"/>
    <w:rPr>
      <w:rFonts w:ascii="Times New Roman" w:eastAsia="Calibri" w:hAnsi="Times New Roman" w:cs="Times New Roman"/>
      <w:noProof/>
      <w:sz w:val="24"/>
      <w:szCs w:val="24"/>
    </w:rPr>
  </w:style>
  <w:style w:type="paragraph" w:styleId="NoSpacing">
    <w:name w:val="No Spacing"/>
    <w:uiPriority w:val="1"/>
    <w:qFormat/>
    <w:rsid w:val="003061F7"/>
    <w:pPr>
      <w:spacing w:after="0" w:line="240" w:lineRule="auto"/>
      <w:ind w:right="180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3061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061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PSANormal">
    <w:name w:val="A. PSA Normal"/>
    <w:basedOn w:val="Normal"/>
    <w:link w:val="APSANormalChar"/>
    <w:rsid w:val="003061F7"/>
    <w:pPr>
      <w:spacing w:after="0" w:line="240" w:lineRule="auto"/>
      <w:ind w:right="180"/>
    </w:pPr>
    <w:rPr>
      <w:rFonts w:ascii="Times New Roman" w:eastAsia="Calibri" w:hAnsi="Times New Roman" w:cs="Times New Roman"/>
      <w:noProof/>
      <w:sz w:val="24"/>
      <w:szCs w:val="24"/>
      <w:lang w:eastAsia="ko-KR" w:bidi="en-US"/>
    </w:rPr>
  </w:style>
  <w:style w:type="character" w:customStyle="1" w:styleId="APSANormalChar">
    <w:name w:val="A. PSA Normal Char"/>
    <w:basedOn w:val="DefaultParagraphFont"/>
    <w:link w:val="APSANormal"/>
    <w:rsid w:val="003061F7"/>
    <w:rPr>
      <w:rFonts w:ascii="Times New Roman" w:eastAsia="Calibri" w:hAnsi="Times New Roman" w:cs="Times New Roman"/>
      <w:noProof/>
      <w:sz w:val="24"/>
      <w:szCs w:val="24"/>
      <w:lang w:eastAsia="ko-KR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Lovegrove</dc:creator>
  <cp:lastModifiedBy>Peter Lovegrove</cp:lastModifiedBy>
  <cp:revision>1</cp:revision>
  <dcterms:created xsi:type="dcterms:W3CDTF">2016-10-27T11:33:00Z</dcterms:created>
  <dcterms:modified xsi:type="dcterms:W3CDTF">2016-10-27T11:40:00Z</dcterms:modified>
</cp:coreProperties>
</file>