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31" w:rsidRPr="00B1350E" w:rsidRDefault="006A7A31" w:rsidP="00784000">
      <w:pPr>
        <w:pStyle w:val="Body1"/>
        <w:spacing w:before="100" w:beforeAutospacing="1" w:after="100" w:afterAutospacing="1" w:line="360" w:lineRule="auto"/>
        <w:rPr>
          <w:rFonts w:ascii="Arial" w:hAnsi="Arial" w:cs="Arial"/>
          <w:sz w:val="24"/>
          <w:szCs w:val="24"/>
        </w:rPr>
      </w:pPr>
    </w:p>
    <w:p w:rsidR="00BB7E7E" w:rsidRDefault="00BB7E7E" w:rsidP="00BB7E7E">
      <w:r>
        <w:t xml:space="preserve">Changes in Library Evaluation:   Responding to External Pressures in the Institution of Museum and Library Services’ </w:t>
      </w:r>
      <w:r>
        <w:rPr>
          <w:i/>
        </w:rPr>
        <w:t xml:space="preserve">Measuring Success Imitative </w:t>
      </w:r>
      <w:r>
        <w:t xml:space="preserve">for the Grants to States Program </w:t>
      </w:r>
    </w:p>
    <w:p w:rsidR="00BB7E7E" w:rsidRDefault="00BB7E7E" w:rsidP="00BB7E7E"/>
    <w:p w:rsidR="00BB7E7E" w:rsidRDefault="00BB7E7E" w:rsidP="00BB7E7E"/>
    <w:p w:rsidR="00BB7E7E" w:rsidRDefault="00BB7E7E" w:rsidP="00BB7E7E"/>
    <w:p w:rsidR="00BB7E7E" w:rsidRDefault="00BB7E7E" w:rsidP="00BB7E7E">
      <w:r>
        <w:t xml:space="preserve">This </w:t>
      </w:r>
      <w:r w:rsidR="00B55379">
        <w:t xml:space="preserve">chapter </w:t>
      </w:r>
      <w:r>
        <w:t xml:space="preserve">examines the challenges of developing and implementing a new national evaluation approach in a complex library funding program.  The approach shifts a prior outcome-based evaluation legacy using logic models to one relying on non-linear </w:t>
      </w:r>
      <w:r w:rsidRPr="006E79FF">
        <w:t>logic mappin</w:t>
      </w:r>
      <w:r w:rsidRPr="001264CE">
        <w:rPr>
          <w:i/>
        </w:rPr>
        <w:t>g</w:t>
      </w:r>
      <w:r>
        <w:rPr>
          <w:i/>
        </w:rPr>
        <w:t>.</w:t>
      </w:r>
      <w:r>
        <w:t xml:space="preserve">  The new approach is explored by studying the </w:t>
      </w:r>
      <w:r w:rsidRPr="001264CE">
        <w:rPr>
          <w:i/>
        </w:rPr>
        <w:t>Measuring Success</w:t>
      </w:r>
      <w:r>
        <w:t xml:space="preserve"> initiative, launched in March 2011 for the largest funded library services program in the US, the Institute for Museum and Library Services formula based Grants to States program.  The </w:t>
      </w:r>
      <w:r w:rsidR="00B55379">
        <w:t>chapter</w:t>
      </w:r>
      <w:r>
        <w:t xml:space="preserve"> explores the relative benefits of non-linear logic maps and emphasizes the importance of scaling evaluation from individual projects towards clusters of similar library services and activities.   The introduction of this new evaluation approach required a new conceptual frame, drawing on diffusion, strategic planning, and other current evaluation theories. The new approach can be widely generalized to many library services, although its focus is on a uniform inter-organizational social network embedded in service delivery.   The </w:t>
      </w:r>
      <w:r w:rsidR="00B55379">
        <w:t>chapter</w:t>
      </w:r>
      <w:r>
        <w:t xml:space="preserve"> offers a new evaluation perspective for library service professionals by moving from narrow methodological concerns involving measurement to broader administrative issues including diffusion of library use, effective integration of systematic data into program planning and administration, and strengthening multi-stakeholder communication.</w:t>
      </w:r>
    </w:p>
    <w:p w:rsidR="00BB7E7E" w:rsidRDefault="00BB7E7E" w:rsidP="00BB7E7E"/>
    <w:p w:rsidR="00BB7E7E" w:rsidRDefault="00BB7E7E" w:rsidP="00BB7E7E">
      <w:r>
        <w:t xml:space="preserve">Key words:  Institute of Museum and Library Services, Grants to States, </w:t>
      </w:r>
      <w:r w:rsidR="00967C94">
        <w:t xml:space="preserve">Library and Services Technology Act, </w:t>
      </w:r>
      <w:r>
        <w:t>evaluation, results based management, outcome based evaluation, logic models, logic mapping, systems theory, strategic planning, diffusion, social networks.</w:t>
      </w:r>
    </w:p>
    <w:p w:rsidR="00BB7E7E" w:rsidRDefault="00BB7E7E">
      <w:pPr>
        <w:rPr>
          <w:rFonts w:ascii="Arial" w:hAnsi="Arial" w:cs="Arial"/>
          <w:b/>
        </w:rPr>
      </w:pPr>
    </w:p>
    <w:p w:rsidR="00BB7E7E" w:rsidRDefault="00BB7E7E">
      <w:pPr>
        <w:rPr>
          <w:rFonts w:ascii="Arial" w:hAnsi="Arial" w:cs="Arial"/>
        </w:rPr>
      </w:pPr>
    </w:p>
    <w:p w:rsidR="00BB7E7E" w:rsidRDefault="00BB7E7E">
      <w:pPr>
        <w:rPr>
          <w:rFonts w:ascii="Arial" w:hAnsi="Arial" w:cs="Arial"/>
        </w:rPr>
      </w:pPr>
    </w:p>
    <w:p w:rsidR="00BB7E7E" w:rsidRDefault="00BB7E7E">
      <w:pPr>
        <w:rPr>
          <w:rFonts w:ascii="Arial" w:hAnsi="Arial" w:cs="Arial"/>
        </w:rPr>
      </w:pPr>
      <w:r>
        <w:rPr>
          <w:rFonts w:ascii="Arial" w:hAnsi="Arial" w:cs="Arial"/>
        </w:rPr>
        <w:t>Matthew Birnbaum, PhD, Institute for Museum and Library Services</w:t>
      </w:r>
    </w:p>
    <w:p w:rsidR="00235381" w:rsidRDefault="00235381">
      <w:pPr>
        <w:rPr>
          <w:rFonts w:ascii="Arial" w:hAnsi="Arial" w:cs="Arial"/>
        </w:rPr>
      </w:pPr>
    </w:p>
    <w:p w:rsidR="00235381" w:rsidRDefault="00235381">
      <w:pPr>
        <w:rPr>
          <w:rFonts w:ascii="Arial" w:hAnsi="Arial" w:cs="Arial"/>
        </w:rPr>
      </w:pPr>
      <w:r>
        <w:rPr>
          <w:rFonts w:ascii="Arial" w:hAnsi="Arial" w:cs="Arial"/>
        </w:rPr>
        <w:t>Kim Okahara, Institute for Museum and Library Services</w:t>
      </w:r>
    </w:p>
    <w:p w:rsidR="00BB7E7E" w:rsidRDefault="00BB7E7E">
      <w:pPr>
        <w:rPr>
          <w:rFonts w:ascii="Arial" w:hAnsi="Arial" w:cs="Arial"/>
        </w:rPr>
      </w:pPr>
    </w:p>
    <w:p w:rsidR="00235381" w:rsidRDefault="00BB7E7E">
      <w:pPr>
        <w:rPr>
          <w:rFonts w:ascii="Arial" w:hAnsi="Arial" w:cs="Arial"/>
        </w:rPr>
      </w:pPr>
      <w:r>
        <w:rPr>
          <w:rFonts w:ascii="Arial" w:hAnsi="Arial" w:cs="Arial"/>
        </w:rPr>
        <w:t>Mallory Warner, Institute for Museum and Library Services</w:t>
      </w:r>
    </w:p>
    <w:p w:rsidR="00235381" w:rsidRDefault="00235381">
      <w:pPr>
        <w:rPr>
          <w:rFonts w:ascii="Arial" w:hAnsi="Arial" w:cs="Arial"/>
        </w:rPr>
      </w:pPr>
      <w:bookmarkStart w:id="0" w:name="_GoBack"/>
      <w:bookmarkEnd w:id="0"/>
    </w:p>
    <w:p w:rsidR="00235381" w:rsidRDefault="00235381">
      <w:pPr>
        <w:rPr>
          <w:rFonts w:ascii="Arial" w:hAnsi="Arial" w:cs="Arial"/>
          <w:b/>
          <w:u w:val="single"/>
        </w:rPr>
      </w:pPr>
    </w:p>
    <w:p w:rsidR="00235381" w:rsidRDefault="00235381">
      <w:pPr>
        <w:rPr>
          <w:rFonts w:ascii="Arial" w:hAnsi="Arial" w:cs="Arial"/>
          <w:b/>
        </w:rPr>
      </w:pPr>
      <w:r>
        <w:rPr>
          <w:rFonts w:ascii="Arial" w:hAnsi="Arial" w:cs="Arial"/>
          <w:b/>
          <w:u w:val="single"/>
        </w:rPr>
        <w:t>Corresponding Author</w:t>
      </w:r>
    </w:p>
    <w:p w:rsidR="00235381" w:rsidRDefault="00235381">
      <w:pPr>
        <w:rPr>
          <w:rFonts w:ascii="Arial" w:hAnsi="Arial" w:cs="Arial"/>
          <w:b/>
        </w:rPr>
      </w:pPr>
    </w:p>
    <w:p w:rsidR="00967C94" w:rsidRDefault="00235381">
      <w:pPr>
        <w:rPr>
          <w:rFonts w:ascii="Arial" w:hAnsi="Arial" w:cs="Arial"/>
        </w:rPr>
      </w:pPr>
      <w:r>
        <w:rPr>
          <w:rFonts w:ascii="Arial" w:hAnsi="Arial" w:cs="Arial"/>
        </w:rPr>
        <w:t>Matthew Birnbaum, Institute of Museum and Library Services, 1800 M Street</w:t>
      </w:r>
      <w:r w:rsidR="001F7257">
        <w:rPr>
          <w:rFonts w:ascii="Arial" w:hAnsi="Arial" w:cs="Arial"/>
        </w:rPr>
        <w:t xml:space="preserve"> NW</w:t>
      </w:r>
      <w:r>
        <w:rPr>
          <w:rFonts w:ascii="Arial" w:hAnsi="Arial" w:cs="Arial"/>
        </w:rPr>
        <w:t>, 9</w:t>
      </w:r>
      <w:r w:rsidRPr="00235381">
        <w:rPr>
          <w:rFonts w:ascii="Arial" w:hAnsi="Arial" w:cs="Arial"/>
          <w:vertAlign w:val="superscript"/>
        </w:rPr>
        <w:t>th</w:t>
      </w:r>
      <w:r>
        <w:rPr>
          <w:rFonts w:ascii="Arial" w:hAnsi="Arial" w:cs="Arial"/>
        </w:rPr>
        <w:t xml:space="preserve"> Floor, NW, Washington, DC 20036.</w:t>
      </w:r>
    </w:p>
    <w:p w:rsidR="006A7A31" w:rsidRPr="00AD69F4" w:rsidRDefault="00967C94" w:rsidP="00235381">
      <w:pPr>
        <w:rPr>
          <w:rFonts w:ascii="Arial" w:hAnsi="Arial" w:cs="Arial"/>
          <w:b/>
          <w:sz w:val="28"/>
          <w:szCs w:val="28"/>
        </w:rPr>
      </w:pPr>
      <w:r>
        <w:rPr>
          <w:rFonts w:ascii="Arial" w:hAnsi="Arial" w:cs="Arial"/>
        </w:rPr>
        <w:t>Email:  mbirnbaum@imls.gov</w:t>
      </w:r>
      <w:r w:rsidR="00BB7E7E">
        <w:rPr>
          <w:rFonts w:ascii="Arial" w:hAnsi="Arial" w:cs="Arial"/>
          <w:b/>
        </w:rPr>
        <w:br w:type="page"/>
      </w:r>
      <w:r w:rsidR="006A7A31" w:rsidRPr="00AD69F4">
        <w:rPr>
          <w:rFonts w:ascii="Arial" w:hAnsi="Arial" w:cs="Arial"/>
          <w:b/>
          <w:sz w:val="28"/>
          <w:szCs w:val="28"/>
        </w:rPr>
        <w:lastRenderedPageBreak/>
        <w:t>Introduction</w:t>
      </w:r>
    </w:p>
    <w:p w:rsidR="00784000" w:rsidRPr="00B1350E" w:rsidRDefault="00577DF7" w:rsidP="00784000">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The</w:t>
      </w:r>
      <w:r w:rsidR="00D43C3A" w:rsidRPr="00B1350E">
        <w:rPr>
          <w:rFonts w:ascii="Arial" w:hAnsi="Arial" w:cs="Arial"/>
          <w:sz w:val="24"/>
          <w:szCs w:val="24"/>
        </w:rPr>
        <w:t xml:space="preserve"> US</w:t>
      </w:r>
      <w:r w:rsidRPr="00B1350E">
        <w:rPr>
          <w:rFonts w:ascii="Arial" w:hAnsi="Arial" w:cs="Arial"/>
          <w:sz w:val="24"/>
          <w:szCs w:val="24"/>
        </w:rPr>
        <w:t xml:space="preserve"> </w:t>
      </w:r>
      <w:r w:rsidR="009933B7">
        <w:rPr>
          <w:rFonts w:ascii="Arial" w:hAnsi="Arial" w:cs="Arial"/>
          <w:sz w:val="24"/>
          <w:szCs w:val="24"/>
        </w:rPr>
        <w:t xml:space="preserve">political </w:t>
      </w:r>
      <w:r w:rsidR="00784000" w:rsidRPr="00B1350E">
        <w:rPr>
          <w:rFonts w:ascii="Arial" w:hAnsi="Arial" w:cs="Arial"/>
          <w:sz w:val="24"/>
          <w:szCs w:val="24"/>
        </w:rPr>
        <w:t xml:space="preserve">environment </w:t>
      </w:r>
      <w:r w:rsidR="00D43C3A" w:rsidRPr="00B1350E">
        <w:rPr>
          <w:rFonts w:ascii="Arial" w:hAnsi="Arial" w:cs="Arial"/>
          <w:sz w:val="24"/>
          <w:szCs w:val="24"/>
        </w:rPr>
        <w:t xml:space="preserve">creates </w:t>
      </w:r>
      <w:r w:rsidR="00784000" w:rsidRPr="00B1350E">
        <w:rPr>
          <w:rFonts w:ascii="Arial" w:hAnsi="Arial" w:cs="Arial"/>
          <w:sz w:val="24"/>
          <w:szCs w:val="24"/>
        </w:rPr>
        <w:t xml:space="preserve">intense competition for </w:t>
      </w:r>
      <w:r w:rsidRPr="00B1350E">
        <w:rPr>
          <w:rFonts w:ascii="Arial" w:hAnsi="Arial" w:cs="Arial"/>
          <w:sz w:val="24"/>
          <w:szCs w:val="24"/>
        </w:rPr>
        <w:t>social</w:t>
      </w:r>
      <w:r w:rsidR="00784000" w:rsidRPr="00B1350E">
        <w:rPr>
          <w:rFonts w:ascii="Arial" w:hAnsi="Arial" w:cs="Arial"/>
          <w:sz w:val="24"/>
          <w:szCs w:val="24"/>
        </w:rPr>
        <w:t xml:space="preserve"> services and informal </w:t>
      </w:r>
      <w:r w:rsidR="009D291F" w:rsidRPr="00B1350E">
        <w:rPr>
          <w:rFonts w:ascii="Arial" w:hAnsi="Arial" w:cs="Arial"/>
          <w:sz w:val="24"/>
          <w:szCs w:val="24"/>
        </w:rPr>
        <w:t>learning</w:t>
      </w:r>
      <w:r w:rsidR="00235381">
        <w:rPr>
          <w:rFonts w:ascii="Arial" w:hAnsi="Arial" w:cs="Arial"/>
          <w:sz w:val="24"/>
          <w:szCs w:val="24"/>
        </w:rPr>
        <w:t xml:space="preserve"> at all levels of government</w:t>
      </w:r>
      <w:r w:rsidR="009D291F" w:rsidRPr="00B1350E">
        <w:rPr>
          <w:rFonts w:ascii="Arial" w:hAnsi="Arial" w:cs="Arial"/>
          <w:sz w:val="24"/>
          <w:szCs w:val="24"/>
        </w:rPr>
        <w:t>.</w:t>
      </w:r>
      <w:r w:rsidR="00784000" w:rsidRPr="00B1350E">
        <w:rPr>
          <w:rFonts w:ascii="Arial" w:hAnsi="Arial" w:cs="Arial"/>
          <w:sz w:val="24"/>
          <w:szCs w:val="24"/>
        </w:rPr>
        <w:t xml:space="preserve">  </w:t>
      </w:r>
      <w:r w:rsidR="00D43C3A" w:rsidRPr="00B1350E">
        <w:rPr>
          <w:rFonts w:ascii="Arial" w:hAnsi="Arial" w:cs="Arial"/>
          <w:sz w:val="24"/>
          <w:szCs w:val="24"/>
        </w:rPr>
        <w:t xml:space="preserve">This is </w:t>
      </w:r>
      <w:r w:rsidR="000E7D27">
        <w:rPr>
          <w:rFonts w:ascii="Arial" w:hAnsi="Arial" w:cs="Arial"/>
          <w:sz w:val="24"/>
          <w:szCs w:val="24"/>
        </w:rPr>
        <w:t xml:space="preserve">not </w:t>
      </w:r>
      <w:r w:rsidR="000E7D27" w:rsidRPr="00B1350E">
        <w:rPr>
          <w:rFonts w:ascii="Arial" w:hAnsi="Arial" w:cs="Arial"/>
          <w:sz w:val="24"/>
          <w:szCs w:val="24"/>
        </w:rPr>
        <w:t xml:space="preserve">expected </w:t>
      </w:r>
      <w:r w:rsidR="00D43C3A" w:rsidRPr="00B1350E">
        <w:rPr>
          <w:rFonts w:ascii="Arial" w:hAnsi="Arial" w:cs="Arial"/>
          <w:sz w:val="24"/>
          <w:szCs w:val="24"/>
        </w:rPr>
        <w:t>to</w:t>
      </w:r>
      <w:r w:rsidR="00784000" w:rsidRPr="00B1350E">
        <w:rPr>
          <w:rFonts w:ascii="Arial" w:hAnsi="Arial" w:cs="Arial"/>
          <w:sz w:val="24"/>
          <w:szCs w:val="24"/>
        </w:rPr>
        <w:t xml:space="preserve"> change in the </w:t>
      </w:r>
      <w:r w:rsidRPr="00B1350E">
        <w:rPr>
          <w:rFonts w:ascii="Arial" w:hAnsi="Arial" w:cs="Arial"/>
          <w:sz w:val="24"/>
          <w:szCs w:val="24"/>
        </w:rPr>
        <w:t>foreseeable future</w:t>
      </w:r>
      <w:r w:rsidR="009933B7">
        <w:rPr>
          <w:rFonts w:ascii="Arial" w:hAnsi="Arial" w:cs="Arial"/>
          <w:sz w:val="24"/>
          <w:szCs w:val="24"/>
        </w:rPr>
        <w:t xml:space="preserve"> given economic circumstances</w:t>
      </w:r>
      <w:r w:rsidRPr="00B1350E">
        <w:rPr>
          <w:rFonts w:ascii="Arial" w:hAnsi="Arial" w:cs="Arial"/>
          <w:sz w:val="24"/>
          <w:szCs w:val="24"/>
        </w:rPr>
        <w:t>.</w:t>
      </w:r>
      <w:r w:rsidR="00784000" w:rsidRPr="00B1350E">
        <w:rPr>
          <w:rFonts w:ascii="Arial" w:hAnsi="Arial" w:cs="Arial"/>
          <w:sz w:val="24"/>
          <w:szCs w:val="24"/>
        </w:rPr>
        <w:t xml:space="preserve">  </w:t>
      </w:r>
      <w:r w:rsidR="00D43C3A" w:rsidRPr="00B1350E">
        <w:rPr>
          <w:rFonts w:ascii="Arial" w:hAnsi="Arial" w:cs="Arial"/>
          <w:sz w:val="24"/>
          <w:szCs w:val="24"/>
        </w:rPr>
        <w:t xml:space="preserve"> </w:t>
      </w:r>
      <w:r w:rsidR="00235381">
        <w:rPr>
          <w:rFonts w:ascii="Arial" w:hAnsi="Arial" w:cs="Arial"/>
          <w:sz w:val="24"/>
          <w:szCs w:val="24"/>
        </w:rPr>
        <w:t>E</w:t>
      </w:r>
      <w:r w:rsidR="00D43C3A" w:rsidRPr="00B1350E">
        <w:rPr>
          <w:rFonts w:ascii="Arial" w:hAnsi="Arial" w:cs="Arial"/>
          <w:sz w:val="24"/>
          <w:szCs w:val="24"/>
        </w:rPr>
        <w:t xml:space="preserve">valuation </w:t>
      </w:r>
      <w:r w:rsidR="00235381">
        <w:rPr>
          <w:rFonts w:ascii="Arial" w:hAnsi="Arial" w:cs="Arial"/>
          <w:sz w:val="24"/>
          <w:szCs w:val="24"/>
        </w:rPr>
        <w:t>research may be the most effective tool to</w:t>
      </w:r>
      <w:r w:rsidR="00D43C3A" w:rsidRPr="00B1350E">
        <w:rPr>
          <w:rFonts w:ascii="Arial" w:hAnsi="Arial" w:cs="Arial"/>
          <w:sz w:val="24"/>
          <w:szCs w:val="24"/>
        </w:rPr>
        <w:t xml:space="preserve"> help </w:t>
      </w:r>
      <w:r w:rsidR="00784000" w:rsidRPr="00B1350E">
        <w:rPr>
          <w:rFonts w:ascii="Arial" w:hAnsi="Arial" w:cs="Arial"/>
          <w:sz w:val="24"/>
          <w:szCs w:val="24"/>
        </w:rPr>
        <w:t>libraries</w:t>
      </w:r>
      <w:r w:rsidR="00D43C3A" w:rsidRPr="00B1350E">
        <w:rPr>
          <w:rFonts w:ascii="Arial" w:hAnsi="Arial" w:cs="Arial"/>
          <w:sz w:val="24"/>
          <w:szCs w:val="24"/>
        </w:rPr>
        <w:t xml:space="preserve"> respond to </w:t>
      </w:r>
      <w:r w:rsidR="00784000" w:rsidRPr="00B1350E">
        <w:rPr>
          <w:rFonts w:ascii="Arial" w:hAnsi="Arial" w:cs="Arial"/>
          <w:sz w:val="24"/>
          <w:szCs w:val="24"/>
        </w:rPr>
        <w:t>ever-</w:t>
      </w:r>
      <w:r w:rsidR="00D43C3A" w:rsidRPr="00B1350E">
        <w:rPr>
          <w:rFonts w:ascii="Arial" w:hAnsi="Arial" w:cs="Arial"/>
          <w:sz w:val="24"/>
          <w:szCs w:val="24"/>
        </w:rPr>
        <w:t xml:space="preserve">changing technology demands, </w:t>
      </w:r>
      <w:r w:rsidR="00784000" w:rsidRPr="00B1350E">
        <w:rPr>
          <w:rFonts w:ascii="Arial" w:hAnsi="Arial" w:cs="Arial"/>
          <w:sz w:val="24"/>
          <w:szCs w:val="24"/>
        </w:rPr>
        <w:t xml:space="preserve">expanding </w:t>
      </w:r>
      <w:r w:rsidR="00D43C3A" w:rsidRPr="00B1350E">
        <w:rPr>
          <w:rFonts w:ascii="Arial" w:hAnsi="Arial" w:cs="Arial"/>
          <w:sz w:val="24"/>
          <w:szCs w:val="24"/>
        </w:rPr>
        <w:t>diversity, and</w:t>
      </w:r>
      <w:r w:rsidRPr="00B1350E">
        <w:rPr>
          <w:rFonts w:ascii="Arial" w:hAnsi="Arial" w:cs="Arial"/>
          <w:sz w:val="24"/>
          <w:szCs w:val="24"/>
        </w:rPr>
        <w:t xml:space="preserve"> rapidly</w:t>
      </w:r>
      <w:r w:rsidR="00784000" w:rsidRPr="00B1350E">
        <w:rPr>
          <w:rFonts w:ascii="Arial" w:hAnsi="Arial" w:cs="Arial"/>
          <w:sz w:val="24"/>
          <w:szCs w:val="24"/>
        </w:rPr>
        <w:t xml:space="preserve"> changing </w:t>
      </w:r>
      <w:r w:rsidR="00D43C3A" w:rsidRPr="00B1350E">
        <w:rPr>
          <w:rFonts w:ascii="Arial" w:hAnsi="Arial" w:cs="Arial"/>
          <w:sz w:val="24"/>
          <w:szCs w:val="24"/>
        </w:rPr>
        <w:t>social needs</w:t>
      </w:r>
      <w:r w:rsidR="00C75B8D">
        <w:rPr>
          <w:rFonts w:ascii="Arial" w:hAnsi="Arial" w:cs="Arial"/>
          <w:sz w:val="24"/>
          <w:szCs w:val="24"/>
        </w:rPr>
        <w:t xml:space="preserve"> in this political-economic environment</w:t>
      </w:r>
      <w:r w:rsidR="00D43C3A" w:rsidRPr="00B1350E">
        <w:rPr>
          <w:rFonts w:ascii="Arial" w:hAnsi="Arial" w:cs="Arial"/>
          <w:sz w:val="24"/>
          <w:szCs w:val="24"/>
        </w:rPr>
        <w:t xml:space="preserve">. </w:t>
      </w:r>
      <w:r w:rsidR="00784000" w:rsidRPr="00B1350E">
        <w:rPr>
          <w:rFonts w:ascii="Arial" w:hAnsi="Arial" w:cs="Arial"/>
          <w:sz w:val="24"/>
          <w:szCs w:val="24"/>
        </w:rPr>
        <w:t xml:space="preserve"> </w:t>
      </w:r>
    </w:p>
    <w:p w:rsidR="008B1D8F" w:rsidRPr="00B1350E" w:rsidRDefault="00585D15" w:rsidP="008A3CF2">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 </w:t>
      </w:r>
      <w:r w:rsidR="00784000" w:rsidRPr="00B1350E">
        <w:rPr>
          <w:rFonts w:ascii="Arial" w:hAnsi="Arial" w:cs="Arial"/>
          <w:sz w:val="24"/>
          <w:szCs w:val="24"/>
        </w:rPr>
        <w:t>Institute for Museum and Library Services (IMLS)</w:t>
      </w:r>
      <w:r w:rsidR="00D43C3A" w:rsidRPr="00B1350E">
        <w:rPr>
          <w:rFonts w:ascii="Arial" w:hAnsi="Arial" w:cs="Arial"/>
          <w:sz w:val="24"/>
          <w:szCs w:val="24"/>
        </w:rPr>
        <w:t xml:space="preserve"> grant programs </w:t>
      </w:r>
      <w:r w:rsidR="004B764F" w:rsidRPr="00B1350E">
        <w:rPr>
          <w:rFonts w:ascii="Arial" w:hAnsi="Arial" w:cs="Arial"/>
          <w:sz w:val="24"/>
          <w:szCs w:val="24"/>
        </w:rPr>
        <w:t>ha</w:t>
      </w:r>
      <w:r w:rsidR="00D402B1" w:rsidRPr="00B1350E">
        <w:rPr>
          <w:rFonts w:ascii="Arial" w:hAnsi="Arial" w:cs="Arial"/>
          <w:sz w:val="24"/>
          <w:szCs w:val="24"/>
        </w:rPr>
        <w:t>ve</w:t>
      </w:r>
      <w:r w:rsidR="00D43C3A" w:rsidRPr="00B1350E">
        <w:rPr>
          <w:rFonts w:ascii="Arial" w:hAnsi="Arial" w:cs="Arial"/>
          <w:sz w:val="24"/>
          <w:szCs w:val="24"/>
        </w:rPr>
        <w:t xml:space="preserve"> </w:t>
      </w:r>
      <w:r w:rsidR="00D5118F">
        <w:rPr>
          <w:rFonts w:ascii="Arial" w:hAnsi="Arial" w:cs="Arial"/>
          <w:sz w:val="24"/>
          <w:szCs w:val="24"/>
        </w:rPr>
        <w:t>incorporated</w:t>
      </w:r>
      <w:r w:rsidR="009D291F" w:rsidRPr="00B1350E">
        <w:rPr>
          <w:rFonts w:ascii="Arial" w:hAnsi="Arial" w:cs="Arial"/>
          <w:sz w:val="24"/>
          <w:szCs w:val="24"/>
        </w:rPr>
        <w:t xml:space="preserve"> program</w:t>
      </w:r>
      <w:r w:rsidR="008B1D8F" w:rsidRPr="00B1350E">
        <w:rPr>
          <w:rFonts w:ascii="Arial" w:hAnsi="Arial" w:cs="Arial"/>
          <w:sz w:val="24"/>
          <w:szCs w:val="24"/>
        </w:rPr>
        <w:t xml:space="preserve"> evaluation </w:t>
      </w:r>
      <w:r w:rsidR="004724CF" w:rsidRPr="00B1350E">
        <w:rPr>
          <w:rFonts w:ascii="Arial" w:hAnsi="Arial" w:cs="Arial"/>
          <w:sz w:val="24"/>
          <w:szCs w:val="24"/>
        </w:rPr>
        <w:t xml:space="preserve">for about </w:t>
      </w:r>
      <w:r w:rsidR="008E709F">
        <w:rPr>
          <w:rFonts w:ascii="Arial" w:hAnsi="Arial" w:cs="Arial"/>
          <w:sz w:val="24"/>
          <w:szCs w:val="24"/>
        </w:rPr>
        <w:t>fifteen</w:t>
      </w:r>
      <w:r w:rsidR="004724CF" w:rsidRPr="00B1350E">
        <w:rPr>
          <w:rFonts w:ascii="Arial" w:hAnsi="Arial" w:cs="Arial"/>
          <w:sz w:val="24"/>
          <w:szCs w:val="24"/>
        </w:rPr>
        <w:t xml:space="preserve"> </w:t>
      </w:r>
      <w:r w:rsidRPr="00B1350E">
        <w:rPr>
          <w:rFonts w:ascii="Arial" w:hAnsi="Arial" w:cs="Arial"/>
          <w:sz w:val="24"/>
          <w:szCs w:val="24"/>
        </w:rPr>
        <w:t>years</w:t>
      </w:r>
      <w:r w:rsidR="00D43C3A" w:rsidRPr="00B1350E">
        <w:rPr>
          <w:rFonts w:ascii="Arial" w:hAnsi="Arial" w:cs="Arial"/>
          <w:sz w:val="24"/>
          <w:szCs w:val="24"/>
        </w:rPr>
        <w:t xml:space="preserve">, but </w:t>
      </w:r>
      <w:r w:rsidR="00D5118F">
        <w:rPr>
          <w:rFonts w:ascii="Arial" w:hAnsi="Arial" w:cs="Arial"/>
          <w:sz w:val="24"/>
          <w:szCs w:val="24"/>
        </w:rPr>
        <w:t xml:space="preserve">the </w:t>
      </w:r>
      <w:r w:rsidR="008B1D8F" w:rsidRPr="00B1350E">
        <w:rPr>
          <w:rFonts w:ascii="Arial" w:hAnsi="Arial" w:cs="Arial"/>
          <w:sz w:val="24"/>
          <w:szCs w:val="24"/>
        </w:rPr>
        <w:t xml:space="preserve">practice remains </w:t>
      </w:r>
      <w:r w:rsidRPr="00B1350E">
        <w:rPr>
          <w:rFonts w:ascii="Arial" w:hAnsi="Arial" w:cs="Arial"/>
          <w:sz w:val="24"/>
          <w:szCs w:val="24"/>
        </w:rPr>
        <w:t>nascent</w:t>
      </w:r>
      <w:r w:rsidR="008B1D8F" w:rsidRPr="00B1350E">
        <w:rPr>
          <w:rFonts w:ascii="Arial" w:hAnsi="Arial" w:cs="Arial"/>
          <w:sz w:val="24"/>
          <w:szCs w:val="24"/>
        </w:rPr>
        <w:t xml:space="preserve"> when compared to </w:t>
      </w:r>
      <w:r w:rsidR="006A7A31" w:rsidRPr="00B1350E">
        <w:rPr>
          <w:rFonts w:ascii="Arial" w:hAnsi="Arial" w:cs="Arial"/>
          <w:sz w:val="24"/>
          <w:szCs w:val="24"/>
        </w:rPr>
        <w:t xml:space="preserve">that of </w:t>
      </w:r>
      <w:r w:rsidR="008B1D8F" w:rsidRPr="00B1350E">
        <w:rPr>
          <w:rFonts w:ascii="Arial" w:hAnsi="Arial" w:cs="Arial"/>
          <w:sz w:val="24"/>
          <w:szCs w:val="24"/>
        </w:rPr>
        <w:t xml:space="preserve">related </w:t>
      </w:r>
      <w:r w:rsidR="00577DF7" w:rsidRPr="00B1350E">
        <w:rPr>
          <w:rFonts w:ascii="Arial" w:hAnsi="Arial" w:cs="Arial"/>
          <w:sz w:val="24"/>
          <w:szCs w:val="24"/>
        </w:rPr>
        <w:t>sector</w:t>
      </w:r>
      <w:r w:rsidR="00E80F91" w:rsidRPr="00B1350E">
        <w:rPr>
          <w:rFonts w:ascii="Arial" w:hAnsi="Arial" w:cs="Arial"/>
          <w:sz w:val="24"/>
          <w:szCs w:val="24"/>
        </w:rPr>
        <w:t>s</w:t>
      </w:r>
      <w:r w:rsidR="00577DF7" w:rsidRPr="00B1350E">
        <w:rPr>
          <w:rFonts w:ascii="Arial" w:hAnsi="Arial" w:cs="Arial"/>
          <w:sz w:val="24"/>
          <w:szCs w:val="24"/>
        </w:rPr>
        <w:t xml:space="preserve"> </w:t>
      </w:r>
      <w:r w:rsidR="006A7A31" w:rsidRPr="00B1350E">
        <w:rPr>
          <w:rFonts w:ascii="Arial" w:hAnsi="Arial" w:cs="Arial"/>
          <w:sz w:val="24"/>
          <w:szCs w:val="24"/>
        </w:rPr>
        <w:t>such as</w:t>
      </w:r>
      <w:r w:rsidR="008B1D8F" w:rsidRPr="00B1350E">
        <w:rPr>
          <w:rFonts w:ascii="Arial" w:hAnsi="Arial" w:cs="Arial"/>
          <w:sz w:val="24"/>
          <w:szCs w:val="24"/>
        </w:rPr>
        <w:t xml:space="preserve"> education, social services</w:t>
      </w:r>
      <w:r w:rsidR="008A3CF2" w:rsidRPr="00B1350E">
        <w:rPr>
          <w:rFonts w:ascii="Arial" w:hAnsi="Arial" w:cs="Arial"/>
          <w:sz w:val="24"/>
          <w:szCs w:val="24"/>
        </w:rPr>
        <w:t>,</w:t>
      </w:r>
      <w:r w:rsidR="008B1D8F" w:rsidRPr="00B1350E">
        <w:rPr>
          <w:rFonts w:ascii="Arial" w:hAnsi="Arial" w:cs="Arial"/>
          <w:sz w:val="24"/>
          <w:szCs w:val="24"/>
        </w:rPr>
        <w:t xml:space="preserve"> and public health.  </w:t>
      </w:r>
      <w:r w:rsidR="0075561D" w:rsidRPr="00B1350E">
        <w:rPr>
          <w:rFonts w:ascii="Arial" w:hAnsi="Arial" w:cs="Arial"/>
          <w:sz w:val="24"/>
          <w:szCs w:val="24"/>
        </w:rPr>
        <w:t>I</w:t>
      </w:r>
      <w:r w:rsidR="001B0E61" w:rsidRPr="00B1350E">
        <w:rPr>
          <w:rFonts w:ascii="Arial" w:hAnsi="Arial" w:cs="Arial"/>
          <w:sz w:val="24"/>
          <w:szCs w:val="24"/>
        </w:rPr>
        <w:t>mprov</w:t>
      </w:r>
      <w:r w:rsidR="0075561D" w:rsidRPr="00B1350E">
        <w:rPr>
          <w:rFonts w:ascii="Arial" w:hAnsi="Arial" w:cs="Arial"/>
          <w:sz w:val="24"/>
          <w:szCs w:val="24"/>
        </w:rPr>
        <w:t>ing</w:t>
      </w:r>
      <w:r w:rsidR="001B0E61" w:rsidRPr="00B1350E">
        <w:rPr>
          <w:rFonts w:ascii="Arial" w:hAnsi="Arial" w:cs="Arial"/>
          <w:sz w:val="24"/>
          <w:szCs w:val="24"/>
        </w:rPr>
        <w:t xml:space="preserve"> </w:t>
      </w:r>
      <w:r w:rsidR="008B1D8F" w:rsidRPr="00B1350E">
        <w:rPr>
          <w:rFonts w:ascii="Arial" w:hAnsi="Arial" w:cs="Arial"/>
          <w:sz w:val="24"/>
          <w:szCs w:val="24"/>
        </w:rPr>
        <w:t xml:space="preserve">the quality </w:t>
      </w:r>
      <w:r w:rsidRPr="00B1350E">
        <w:rPr>
          <w:rFonts w:ascii="Arial" w:hAnsi="Arial" w:cs="Arial"/>
          <w:sz w:val="24"/>
          <w:szCs w:val="24"/>
        </w:rPr>
        <w:t xml:space="preserve">and </w:t>
      </w:r>
      <w:r w:rsidR="004B764F" w:rsidRPr="00B1350E">
        <w:rPr>
          <w:rFonts w:ascii="Arial" w:hAnsi="Arial" w:cs="Arial"/>
          <w:sz w:val="24"/>
          <w:szCs w:val="24"/>
        </w:rPr>
        <w:t>usefulness</w:t>
      </w:r>
      <w:r w:rsidRPr="00B1350E">
        <w:rPr>
          <w:rFonts w:ascii="Arial" w:hAnsi="Arial" w:cs="Arial"/>
          <w:sz w:val="24"/>
          <w:szCs w:val="24"/>
        </w:rPr>
        <w:t xml:space="preserve"> of</w:t>
      </w:r>
      <w:r w:rsidR="008B1D8F" w:rsidRPr="00B1350E">
        <w:rPr>
          <w:rFonts w:ascii="Arial" w:hAnsi="Arial" w:cs="Arial"/>
          <w:sz w:val="24"/>
          <w:szCs w:val="24"/>
        </w:rPr>
        <w:t xml:space="preserve"> </w:t>
      </w:r>
      <w:r w:rsidR="00E80F91" w:rsidRPr="00B1350E">
        <w:rPr>
          <w:rFonts w:ascii="Arial" w:hAnsi="Arial" w:cs="Arial"/>
          <w:sz w:val="24"/>
          <w:szCs w:val="24"/>
        </w:rPr>
        <w:t xml:space="preserve">library program </w:t>
      </w:r>
      <w:r w:rsidR="008B1D8F" w:rsidRPr="00B1350E">
        <w:rPr>
          <w:rFonts w:ascii="Arial" w:hAnsi="Arial" w:cs="Arial"/>
          <w:sz w:val="24"/>
          <w:szCs w:val="24"/>
        </w:rPr>
        <w:t xml:space="preserve">evaluation </w:t>
      </w:r>
      <w:r w:rsidR="00E80F91" w:rsidRPr="00B1350E">
        <w:rPr>
          <w:rFonts w:ascii="Arial" w:hAnsi="Arial" w:cs="Arial"/>
          <w:sz w:val="24"/>
          <w:szCs w:val="24"/>
        </w:rPr>
        <w:t>requires</w:t>
      </w:r>
      <w:r w:rsidR="00CD21B8" w:rsidRPr="00B1350E">
        <w:rPr>
          <w:rFonts w:ascii="Arial" w:hAnsi="Arial" w:cs="Arial"/>
          <w:sz w:val="24"/>
          <w:szCs w:val="24"/>
        </w:rPr>
        <w:t xml:space="preserve"> </w:t>
      </w:r>
      <w:r w:rsidR="00D5118F">
        <w:rPr>
          <w:rFonts w:ascii="Arial" w:hAnsi="Arial" w:cs="Arial"/>
          <w:sz w:val="24"/>
          <w:szCs w:val="24"/>
        </w:rPr>
        <w:t xml:space="preserve">a </w:t>
      </w:r>
      <w:r w:rsidR="008B1D8F" w:rsidRPr="00B1350E">
        <w:rPr>
          <w:rFonts w:ascii="Arial" w:hAnsi="Arial" w:cs="Arial"/>
          <w:sz w:val="24"/>
          <w:szCs w:val="24"/>
        </w:rPr>
        <w:t>cultural shift in</w:t>
      </w:r>
      <w:r w:rsidR="00E80F91" w:rsidRPr="00B1350E">
        <w:rPr>
          <w:rFonts w:ascii="Arial" w:hAnsi="Arial" w:cs="Arial"/>
          <w:sz w:val="24"/>
          <w:szCs w:val="24"/>
        </w:rPr>
        <w:t xml:space="preserve"> </w:t>
      </w:r>
      <w:r w:rsidRPr="00B1350E">
        <w:rPr>
          <w:rFonts w:ascii="Arial" w:hAnsi="Arial" w:cs="Arial"/>
          <w:sz w:val="24"/>
          <w:szCs w:val="24"/>
        </w:rPr>
        <w:t>how the field approaches</w:t>
      </w:r>
      <w:r w:rsidR="000E7D27">
        <w:rPr>
          <w:rFonts w:ascii="Arial" w:hAnsi="Arial" w:cs="Arial"/>
          <w:sz w:val="24"/>
          <w:szCs w:val="24"/>
        </w:rPr>
        <w:t xml:space="preserve"> planning for</w:t>
      </w:r>
      <w:r w:rsidRPr="00B1350E">
        <w:rPr>
          <w:rFonts w:ascii="Arial" w:hAnsi="Arial" w:cs="Arial"/>
          <w:sz w:val="24"/>
          <w:szCs w:val="24"/>
        </w:rPr>
        <w:t xml:space="preserve"> the programs it plans and administers</w:t>
      </w:r>
      <w:r w:rsidR="006A7A31" w:rsidRPr="00B1350E">
        <w:rPr>
          <w:rFonts w:ascii="Arial" w:hAnsi="Arial" w:cs="Arial"/>
          <w:sz w:val="24"/>
          <w:szCs w:val="24"/>
        </w:rPr>
        <w:t>,</w:t>
      </w:r>
      <w:r w:rsidRPr="00B1350E">
        <w:rPr>
          <w:rFonts w:ascii="Arial" w:hAnsi="Arial" w:cs="Arial"/>
          <w:sz w:val="24"/>
          <w:szCs w:val="24"/>
        </w:rPr>
        <w:t xml:space="preserve"> and the role of </w:t>
      </w:r>
      <w:r w:rsidR="001E1379">
        <w:rPr>
          <w:rFonts w:ascii="Arial" w:hAnsi="Arial" w:cs="Arial"/>
          <w:sz w:val="24"/>
          <w:szCs w:val="24"/>
        </w:rPr>
        <w:t xml:space="preserve">assessment </w:t>
      </w:r>
      <w:r w:rsidRPr="00B1350E">
        <w:rPr>
          <w:rFonts w:ascii="Arial" w:hAnsi="Arial" w:cs="Arial"/>
          <w:sz w:val="24"/>
          <w:szCs w:val="24"/>
        </w:rPr>
        <w:t>in both.</w:t>
      </w:r>
    </w:p>
    <w:p w:rsidR="008B1D8F" w:rsidRPr="00B1350E" w:rsidRDefault="00E80F91"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L</w:t>
      </w:r>
      <w:r w:rsidR="008B1D8F" w:rsidRPr="00B1350E">
        <w:rPr>
          <w:rFonts w:ascii="Arial" w:hAnsi="Arial" w:cs="Arial"/>
          <w:sz w:val="24"/>
          <w:szCs w:val="24"/>
        </w:rPr>
        <w:t xml:space="preserve">ibrary </w:t>
      </w:r>
      <w:r w:rsidRPr="00B1350E">
        <w:rPr>
          <w:rFonts w:ascii="Arial" w:hAnsi="Arial" w:cs="Arial"/>
          <w:sz w:val="24"/>
          <w:szCs w:val="24"/>
        </w:rPr>
        <w:t xml:space="preserve">educators, </w:t>
      </w:r>
      <w:r w:rsidR="008B1D8F" w:rsidRPr="00B1350E">
        <w:rPr>
          <w:rFonts w:ascii="Arial" w:hAnsi="Arial" w:cs="Arial"/>
          <w:sz w:val="24"/>
          <w:szCs w:val="24"/>
        </w:rPr>
        <w:t>executives</w:t>
      </w:r>
      <w:r w:rsidRPr="00B1350E">
        <w:rPr>
          <w:rFonts w:ascii="Arial" w:hAnsi="Arial" w:cs="Arial"/>
          <w:sz w:val="24"/>
          <w:szCs w:val="24"/>
        </w:rPr>
        <w:t>,</w:t>
      </w:r>
      <w:r w:rsidR="008B1D8F" w:rsidRPr="00B1350E">
        <w:rPr>
          <w:rFonts w:ascii="Arial" w:hAnsi="Arial" w:cs="Arial"/>
          <w:sz w:val="24"/>
          <w:szCs w:val="24"/>
        </w:rPr>
        <w:t xml:space="preserve"> and professionals </w:t>
      </w:r>
      <w:r w:rsidRPr="00B1350E">
        <w:rPr>
          <w:rFonts w:ascii="Arial" w:hAnsi="Arial" w:cs="Arial"/>
          <w:sz w:val="24"/>
          <w:szCs w:val="24"/>
        </w:rPr>
        <w:t>must</w:t>
      </w:r>
      <w:r w:rsidR="008B1D8F" w:rsidRPr="00B1350E">
        <w:rPr>
          <w:rFonts w:ascii="Arial" w:hAnsi="Arial" w:cs="Arial"/>
          <w:sz w:val="24"/>
          <w:szCs w:val="24"/>
        </w:rPr>
        <w:t xml:space="preserve"> </w:t>
      </w:r>
      <w:r w:rsidR="000E7D27">
        <w:rPr>
          <w:rFonts w:ascii="Arial" w:hAnsi="Arial" w:cs="Arial"/>
          <w:sz w:val="24"/>
          <w:szCs w:val="24"/>
        </w:rPr>
        <w:t>alter the</w:t>
      </w:r>
      <w:r w:rsidR="000E7D27" w:rsidRPr="00B1350E">
        <w:rPr>
          <w:rFonts w:ascii="Arial" w:hAnsi="Arial" w:cs="Arial"/>
          <w:sz w:val="24"/>
          <w:szCs w:val="24"/>
        </w:rPr>
        <w:t xml:space="preserve"> </w:t>
      </w:r>
      <w:r w:rsidR="008B1D8F" w:rsidRPr="00B1350E">
        <w:rPr>
          <w:rFonts w:ascii="Arial" w:hAnsi="Arial" w:cs="Arial"/>
          <w:sz w:val="24"/>
          <w:szCs w:val="24"/>
        </w:rPr>
        <w:t xml:space="preserve">customs </w:t>
      </w:r>
      <w:r w:rsidR="00CD21B8" w:rsidRPr="00B1350E">
        <w:rPr>
          <w:rFonts w:ascii="Arial" w:hAnsi="Arial" w:cs="Arial"/>
          <w:sz w:val="24"/>
          <w:szCs w:val="24"/>
        </w:rPr>
        <w:t>embedded by</w:t>
      </w:r>
      <w:r w:rsidR="008B1D8F" w:rsidRPr="00B1350E">
        <w:rPr>
          <w:rFonts w:ascii="Arial" w:hAnsi="Arial" w:cs="Arial"/>
          <w:sz w:val="24"/>
          <w:szCs w:val="24"/>
        </w:rPr>
        <w:t xml:space="preserve"> </w:t>
      </w:r>
      <w:r w:rsidR="00E1127F" w:rsidRPr="00B1350E">
        <w:rPr>
          <w:rFonts w:ascii="Arial" w:hAnsi="Arial" w:cs="Arial"/>
          <w:sz w:val="24"/>
          <w:szCs w:val="24"/>
        </w:rPr>
        <w:t xml:space="preserve">a prior </w:t>
      </w:r>
      <w:r w:rsidR="008B1D8F" w:rsidRPr="00B1350E">
        <w:rPr>
          <w:rFonts w:ascii="Arial" w:hAnsi="Arial" w:cs="Arial"/>
          <w:sz w:val="24"/>
          <w:szCs w:val="24"/>
        </w:rPr>
        <w:t xml:space="preserve">generation of evaluation models.  Lacking any straight-forward blueprint for </w:t>
      </w:r>
      <w:r w:rsidRPr="00B1350E">
        <w:rPr>
          <w:rFonts w:ascii="Arial" w:hAnsi="Arial" w:cs="Arial"/>
          <w:sz w:val="24"/>
          <w:szCs w:val="24"/>
        </w:rPr>
        <w:t>change,</w:t>
      </w:r>
      <w:r w:rsidR="008B1D8F" w:rsidRPr="00B1350E">
        <w:rPr>
          <w:rFonts w:ascii="Arial" w:hAnsi="Arial" w:cs="Arial"/>
          <w:sz w:val="24"/>
          <w:szCs w:val="24"/>
        </w:rPr>
        <w:t xml:space="preserve"> </w:t>
      </w:r>
      <w:r w:rsidRPr="00B1350E">
        <w:rPr>
          <w:rFonts w:ascii="Arial" w:hAnsi="Arial" w:cs="Arial"/>
          <w:sz w:val="24"/>
          <w:szCs w:val="24"/>
        </w:rPr>
        <w:t xml:space="preserve">this </w:t>
      </w:r>
      <w:r w:rsidR="008B1D8F" w:rsidRPr="00B1350E">
        <w:rPr>
          <w:rFonts w:ascii="Arial" w:hAnsi="Arial" w:cs="Arial"/>
          <w:sz w:val="24"/>
          <w:szCs w:val="24"/>
        </w:rPr>
        <w:t xml:space="preserve">shift requires continuous adaptation </w:t>
      </w:r>
      <w:r w:rsidR="00CD21B8" w:rsidRPr="00B1350E">
        <w:rPr>
          <w:rFonts w:ascii="Arial" w:hAnsi="Arial" w:cs="Arial"/>
          <w:sz w:val="24"/>
          <w:szCs w:val="24"/>
        </w:rPr>
        <w:t xml:space="preserve">to enable </w:t>
      </w:r>
      <w:r w:rsidR="008B1D8F" w:rsidRPr="00B1350E">
        <w:rPr>
          <w:rFonts w:ascii="Arial" w:hAnsi="Arial" w:cs="Arial"/>
          <w:sz w:val="24"/>
          <w:szCs w:val="24"/>
        </w:rPr>
        <w:t xml:space="preserve">and </w:t>
      </w:r>
      <w:r w:rsidR="00CD21B8" w:rsidRPr="00B1350E">
        <w:rPr>
          <w:rFonts w:ascii="Arial" w:hAnsi="Arial" w:cs="Arial"/>
          <w:sz w:val="24"/>
          <w:szCs w:val="24"/>
        </w:rPr>
        <w:t xml:space="preserve">sustain </w:t>
      </w:r>
      <w:r w:rsidRPr="00B1350E">
        <w:rPr>
          <w:rFonts w:ascii="Arial" w:hAnsi="Arial" w:cs="Arial"/>
          <w:sz w:val="24"/>
          <w:szCs w:val="24"/>
        </w:rPr>
        <w:t>clearer</w:t>
      </w:r>
      <w:r w:rsidR="000444FB" w:rsidRPr="00B1350E">
        <w:rPr>
          <w:rFonts w:ascii="Arial" w:hAnsi="Arial" w:cs="Arial"/>
          <w:sz w:val="24"/>
          <w:szCs w:val="24"/>
        </w:rPr>
        <w:t xml:space="preserve"> articulation and </w:t>
      </w:r>
      <w:r w:rsidR="00CD21B8" w:rsidRPr="00B1350E">
        <w:rPr>
          <w:rFonts w:ascii="Arial" w:hAnsi="Arial" w:cs="Arial"/>
          <w:sz w:val="24"/>
          <w:szCs w:val="24"/>
        </w:rPr>
        <w:t>understanding</w:t>
      </w:r>
      <w:r w:rsidR="000444FB" w:rsidRPr="00B1350E">
        <w:rPr>
          <w:rFonts w:ascii="Arial" w:hAnsi="Arial" w:cs="Arial"/>
          <w:sz w:val="24"/>
          <w:szCs w:val="24"/>
        </w:rPr>
        <w:t xml:space="preserve"> of</w:t>
      </w:r>
      <w:r w:rsidR="008B1D8F" w:rsidRPr="00B1350E">
        <w:rPr>
          <w:rFonts w:ascii="Arial" w:hAnsi="Arial" w:cs="Arial"/>
          <w:sz w:val="24"/>
          <w:szCs w:val="24"/>
        </w:rPr>
        <w:t xml:space="preserve"> what library programs intend and what actually </w:t>
      </w:r>
      <w:r w:rsidR="0075561D" w:rsidRPr="00B1350E">
        <w:rPr>
          <w:rFonts w:ascii="Arial" w:hAnsi="Arial" w:cs="Arial"/>
          <w:sz w:val="24"/>
          <w:szCs w:val="24"/>
        </w:rPr>
        <w:t>happens</w:t>
      </w:r>
      <w:r w:rsidR="008B1D8F" w:rsidRPr="00B1350E">
        <w:rPr>
          <w:rFonts w:ascii="Arial" w:hAnsi="Arial" w:cs="Arial"/>
          <w:sz w:val="24"/>
          <w:szCs w:val="24"/>
        </w:rPr>
        <w:t xml:space="preserve">.  </w:t>
      </w:r>
      <w:r w:rsidR="00235381">
        <w:rPr>
          <w:rFonts w:ascii="Arial" w:hAnsi="Arial" w:cs="Arial"/>
          <w:sz w:val="24"/>
          <w:szCs w:val="24"/>
        </w:rPr>
        <w:t>Constrained</w:t>
      </w:r>
      <w:r w:rsidR="00685AA7" w:rsidRPr="00B1350E">
        <w:rPr>
          <w:rFonts w:ascii="Arial" w:hAnsi="Arial" w:cs="Arial"/>
          <w:sz w:val="24"/>
          <w:szCs w:val="24"/>
        </w:rPr>
        <w:t xml:space="preserve"> library </w:t>
      </w:r>
      <w:r w:rsidR="00DA2653" w:rsidRPr="00B1350E">
        <w:rPr>
          <w:rFonts w:ascii="Arial" w:hAnsi="Arial" w:cs="Arial"/>
          <w:sz w:val="24"/>
          <w:szCs w:val="24"/>
        </w:rPr>
        <w:t>budgets</w:t>
      </w:r>
      <w:r w:rsidR="001E1379">
        <w:rPr>
          <w:rFonts w:ascii="Arial" w:hAnsi="Arial" w:cs="Arial"/>
          <w:sz w:val="24"/>
          <w:szCs w:val="24"/>
        </w:rPr>
        <w:t>,</w:t>
      </w:r>
      <w:r w:rsidR="00235381">
        <w:rPr>
          <w:rFonts w:ascii="Arial" w:hAnsi="Arial" w:cs="Arial"/>
          <w:sz w:val="24"/>
          <w:szCs w:val="24"/>
        </w:rPr>
        <w:t xml:space="preserve"> increased</w:t>
      </w:r>
      <w:r w:rsidR="008B1D8F" w:rsidRPr="00B1350E">
        <w:rPr>
          <w:rFonts w:ascii="Arial" w:hAnsi="Arial" w:cs="Arial"/>
          <w:sz w:val="24"/>
          <w:szCs w:val="24"/>
        </w:rPr>
        <w:t xml:space="preserve"> demand</w:t>
      </w:r>
      <w:r w:rsidR="00235381">
        <w:rPr>
          <w:rFonts w:ascii="Arial" w:hAnsi="Arial" w:cs="Arial"/>
          <w:sz w:val="24"/>
          <w:szCs w:val="24"/>
        </w:rPr>
        <w:t xml:space="preserve"> for library services, and heightened </w:t>
      </w:r>
      <w:r w:rsidR="00AB08E1">
        <w:rPr>
          <w:rFonts w:ascii="Arial" w:hAnsi="Arial" w:cs="Arial"/>
          <w:sz w:val="24"/>
          <w:szCs w:val="24"/>
        </w:rPr>
        <w:t>requirements</w:t>
      </w:r>
      <w:r w:rsidR="008B1D8F" w:rsidRPr="00B1350E">
        <w:rPr>
          <w:rFonts w:ascii="Arial" w:hAnsi="Arial" w:cs="Arial"/>
          <w:sz w:val="24"/>
          <w:szCs w:val="24"/>
        </w:rPr>
        <w:t xml:space="preserve"> for persuasive evidence of tangible </w:t>
      </w:r>
      <w:r w:rsidR="00CD21B8" w:rsidRPr="00B1350E">
        <w:rPr>
          <w:rFonts w:ascii="Arial" w:hAnsi="Arial" w:cs="Arial"/>
          <w:sz w:val="24"/>
          <w:szCs w:val="24"/>
        </w:rPr>
        <w:t>results</w:t>
      </w:r>
      <w:r w:rsidR="00685AA7" w:rsidRPr="00B1350E">
        <w:rPr>
          <w:rFonts w:ascii="Arial" w:hAnsi="Arial" w:cs="Arial"/>
          <w:sz w:val="24"/>
          <w:szCs w:val="24"/>
        </w:rPr>
        <w:t xml:space="preserve"> </w:t>
      </w:r>
      <w:r w:rsidRPr="00B1350E">
        <w:rPr>
          <w:rFonts w:ascii="Arial" w:hAnsi="Arial" w:cs="Arial"/>
          <w:sz w:val="24"/>
          <w:szCs w:val="24"/>
        </w:rPr>
        <w:t>exacerbate the need</w:t>
      </w:r>
      <w:r w:rsidR="008B1D8F" w:rsidRPr="00B1350E">
        <w:rPr>
          <w:rFonts w:ascii="Arial" w:hAnsi="Arial" w:cs="Arial"/>
          <w:sz w:val="24"/>
          <w:szCs w:val="24"/>
        </w:rPr>
        <w:t>.</w:t>
      </w:r>
    </w:p>
    <w:p w:rsidR="008B1D8F" w:rsidRPr="00B1350E" w:rsidRDefault="006759E4"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This paper </w:t>
      </w:r>
      <w:r w:rsidR="00E80F91" w:rsidRPr="00B1350E">
        <w:rPr>
          <w:rFonts w:ascii="Arial" w:hAnsi="Arial" w:cs="Arial"/>
          <w:sz w:val="24"/>
          <w:szCs w:val="24"/>
        </w:rPr>
        <w:t xml:space="preserve">describes </w:t>
      </w:r>
      <w:r w:rsidR="006A7A31" w:rsidRPr="00B1350E">
        <w:rPr>
          <w:rFonts w:ascii="Arial" w:hAnsi="Arial" w:cs="Arial"/>
          <w:sz w:val="24"/>
          <w:szCs w:val="24"/>
        </w:rPr>
        <w:t>an</w:t>
      </w:r>
      <w:r w:rsidR="00E80F91" w:rsidRPr="00B1350E">
        <w:rPr>
          <w:rFonts w:ascii="Arial" w:hAnsi="Arial" w:cs="Arial"/>
          <w:sz w:val="24"/>
          <w:szCs w:val="24"/>
        </w:rPr>
        <w:t xml:space="preserve"> initiative by </w:t>
      </w:r>
      <w:r w:rsidRPr="00B1350E">
        <w:rPr>
          <w:rFonts w:ascii="Arial" w:hAnsi="Arial" w:cs="Arial"/>
          <w:sz w:val="24"/>
          <w:szCs w:val="24"/>
        </w:rPr>
        <w:t xml:space="preserve">IMLS and its state </w:t>
      </w:r>
      <w:r w:rsidR="00E80BE6" w:rsidRPr="00B1350E">
        <w:rPr>
          <w:rFonts w:ascii="Arial" w:hAnsi="Arial" w:cs="Arial"/>
          <w:sz w:val="24"/>
          <w:szCs w:val="24"/>
        </w:rPr>
        <w:t xml:space="preserve">grant </w:t>
      </w:r>
      <w:r w:rsidRPr="00B1350E">
        <w:rPr>
          <w:rFonts w:ascii="Arial" w:hAnsi="Arial" w:cs="Arial"/>
          <w:sz w:val="24"/>
          <w:szCs w:val="24"/>
        </w:rPr>
        <w:t xml:space="preserve">partners </w:t>
      </w:r>
      <w:r w:rsidR="00E80F91" w:rsidRPr="00B1350E">
        <w:rPr>
          <w:rFonts w:ascii="Arial" w:hAnsi="Arial" w:cs="Arial"/>
          <w:sz w:val="24"/>
          <w:szCs w:val="24"/>
        </w:rPr>
        <w:t>to</w:t>
      </w:r>
      <w:r w:rsidRPr="00B1350E">
        <w:rPr>
          <w:rFonts w:ascii="Arial" w:hAnsi="Arial" w:cs="Arial"/>
          <w:sz w:val="24"/>
          <w:szCs w:val="24"/>
        </w:rPr>
        <w:t xml:space="preserve"> </w:t>
      </w:r>
      <w:r w:rsidR="006A7A31" w:rsidRPr="00B1350E">
        <w:rPr>
          <w:rFonts w:ascii="Arial" w:hAnsi="Arial" w:cs="Arial"/>
          <w:sz w:val="24"/>
          <w:szCs w:val="24"/>
        </w:rPr>
        <w:t>revise</w:t>
      </w:r>
      <w:r w:rsidR="00E1127F" w:rsidRPr="00B1350E">
        <w:rPr>
          <w:rFonts w:ascii="Arial" w:hAnsi="Arial" w:cs="Arial"/>
          <w:sz w:val="24"/>
          <w:szCs w:val="24"/>
        </w:rPr>
        <w:t xml:space="preserve"> </w:t>
      </w:r>
      <w:r w:rsidR="00D5118F">
        <w:rPr>
          <w:rFonts w:ascii="Arial" w:hAnsi="Arial" w:cs="Arial"/>
          <w:sz w:val="24"/>
          <w:szCs w:val="24"/>
        </w:rPr>
        <w:t>program</w:t>
      </w:r>
      <w:r w:rsidR="00E80BE6" w:rsidRPr="00B1350E">
        <w:rPr>
          <w:rFonts w:ascii="Arial" w:hAnsi="Arial" w:cs="Arial"/>
          <w:sz w:val="24"/>
          <w:szCs w:val="24"/>
        </w:rPr>
        <w:t xml:space="preserve"> </w:t>
      </w:r>
      <w:r w:rsidRPr="00B1350E">
        <w:rPr>
          <w:rFonts w:ascii="Arial" w:hAnsi="Arial" w:cs="Arial"/>
          <w:sz w:val="24"/>
          <w:szCs w:val="24"/>
        </w:rPr>
        <w:t xml:space="preserve">evaluation protocols for the largest </w:t>
      </w:r>
      <w:r w:rsidR="00E80BE6" w:rsidRPr="00B1350E">
        <w:rPr>
          <w:rFonts w:ascii="Arial" w:hAnsi="Arial" w:cs="Arial"/>
          <w:sz w:val="24"/>
          <w:szCs w:val="24"/>
        </w:rPr>
        <w:t>US-</w:t>
      </w:r>
      <w:r w:rsidRPr="00B1350E">
        <w:rPr>
          <w:rFonts w:ascii="Arial" w:hAnsi="Arial" w:cs="Arial"/>
          <w:sz w:val="24"/>
          <w:szCs w:val="24"/>
        </w:rPr>
        <w:t>funded library services program</w:t>
      </w:r>
      <w:r w:rsidR="00E80BE6" w:rsidRPr="00B1350E">
        <w:rPr>
          <w:rFonts w:ascii="Arial" w:hAnsi="Arial" w:cs="Arial"/>
          <w:sz w:val="24"/>
          <w:szCs w:val="24"/>
        </w:rPr>
        <w:t>,</w:t>
      </w:r>
      <w:r w:rsidRPr="00B1350E">
        <w:rPr>
          <w:rFonts w:ascii="Arial" w:hAnsi="Arial" w:cs="Arial"/>
          <w:sz w:val="24"/>
          <w:szCs w:val="24"/>
        </w:rPr>
        <w:t xml:space="preserve"> </w:t>
      </w:r>
      <w:r w:rsidR="00E80BE6" w:rsidRPr="00B1350E">
        <w:rPr>
          <w:rFonts w:ascii="Arial" w:hAnsi="Arial" w:cs="Arial"/>
          <w:sz w:val="24"/>
          <w:szCs w:val="24"/>
        </w:rPr>
        <w:t>formula</w:t>
      </w:r>
      <w:r w:rsidRPr="00B1350E">
        <w:rPr>
          <w:rFonts w:ascii="Arial" w:hAnsi="Arial" w:cs="Arial"/>
          <w:sz w:val="24"/>
          <w:szCs w:val="24"/>
        </w:rPr>
        <w:t xml:space="preserve"> </w:t>
      </w:r>
      <w:r w:rsidR="00E80BE6" w:rsidRPr="00B1350E">
        <w:rPr>
          <w:rFonts w:ascii="Arial" w:hAnsi="Arial" w:cs="Arial"/>
          <w:sz w:val="24"/>
          <w:szCs w:val="24"/>
        </w:rPr>
        <w:t xml:space="preserve">grants </w:t>
      </w:r>
      <w:r w:rsidRPr="00B1350E">
        <w:rPr>
          <w:rFonts w:ascii="Arial" w:hAnsi="Arial" w:cs="Arial"/>
          <w:sz w:val="24"/>
          <w:szCs w:val="24"/>
        </w:rPr>
        <w:t>to State Library Administrative Agencies (</w:t>
      </w:r>
      <w:r w:rsidR="00E80BE6" w:rsidRPr="00B1350E">
        <w:rPr>
          <w:rFonts w:ascii="Arial" w:hAnsi="Arial" w:cs="Arial"/>
          <w:sz w:val="24"/>
          <w:szCs w:val="24"/>
        </w:rPr>
        <w:t>SLAAs)</w:t>
      </w:r>
      <w:r w:rsidR="006A7A31" w:rsidRPr="00B1350E">
        <w:rPr>
          <w:rFonts w:ascii="Arial" w:hAnsi="Arial" w:cs="Arial"/>
          <w:sz w:val="24"/>
          <w:szCs w:val="24"/>
        </w:rPr>
        <w:t xml:space="preserve"> </w:t>
      </w:r>
      <w:r w:rsidR="00D23226" w:rsidRPr="00B1350E">
        <w:rPr>
          <w:rFonts w:ascii="Arial" w:hAnsi="Arial" w:cs="Arial"/>
          <w:sz w:val="24"/>
          <w:szCs w:val="24"/>
        </w:rPr>
        <w:t xml:space="preserve">the Grants to States </w:t>
      </w:r>
      <w:r w:rsidR="006A7A31" w:rsidRPr="00B1350E">
        <w:rPr>
          <w:rFonts w:ascii="Arial" w:hAnsi="Arial" w:cs="Arial"/>
          <w:sz w:val="24"/>
          <w:szCs w:val="24"/>
        </w:rPr>
        <w:t>p</w:t>
      </w:r>
      <w:r w:rsidR="00D23226" w:rsidRPr="00B1350E">
        <w:rPr>
          <w:rFonts w:ascii="Arial" w:hAnsi="Arial" w:cs="Arial"/>
          <w:sz w:val="24"/>
          <w:szCs w:val="24"/>
        </w:rPr>
        <w:t>rogram</w:t>
      </w:r>
      <w:r w:rsidR="00235381">
        <w:rPr>
          <w:rFonts w:ascii="Arial" w:hAnsi="Arial" w:cs="Arial"/>
          <w:sz w:val="24"/>
          <w:szCs w:val="24"/>
        </w:rPr>
        <w:t xml:space="preserve"> under the Library and Services Technology Act (LSTA)</w:t>
      </w:r>
      <w:r w:rsidRPr="00B1350E">
        <w:rPr>
          <w:rFonts w:ascii="Arial" w:hAnsi="Arial" w:cs="Arial"/>
          <w:sz w:val="24"/>
          <w:szCs w:val="24"/>
        </w:rPr>
        <w:t xml:space="preserve">.  </w:t>
      </w:r>
      <w:r w:rsidR="008B1D8F" w:rsidRPr="00B1350E">
        <w:rPr>
          <w:rFonts w:ascii="Arial" w:hAnsi="Arial" w:cs="Arial"/>
          <w:sz w:val="24"/>
          <w:szCs w:val="24"/>
        </w:rPr>
        <w:t>The author</w:t>
      </w:r>
      <w:r w:rsidR="00D5118F">
        <w:rPr>
          <w:rFonts w:ascii="Arial" w:hAnsi="Arial" w:cs="Arial"/>
          <w:sz w:val="24"/>
          <w:szCs w:val="24"/>
        </w:rPr>
        <w:t>s</w:t>
      </w:r>
      <w:r w:rsidR="008B1D8F" w:rsidRPr="00B1350E">
        <w:rPr>
          <w:rFonts w:ascii="Arial" w:hAnsi="Arial" w:cs="Arial"/>
          <w:sz w:val="24"/>
          <w:szCs w:val="24"/>
        </w:rPr>
        <w:t xml:space="preserve"> </w:t>
      </w:r>
      <w:r w:rsidR="00967C94">
        <w:rPr>
          <w:rFonts w:ascii="Arial" w:hAnsi="Arial" w:cs="Arial"/>
          <w:sz w:val="24"/>
          <w:szCs w:val="24"/>
        </w:rPr>
        <w:t xml:space="preserve">and collaborators </w:t>
      </w:r>
      <w:r w:rsidR="00E80BE6" w:rsidRPr="00B1350E">
        <w:rPr>
          <w:rFonts w:ascii="Arial" w:hAnsi="Arial" w:cs="Arial"/>
          <w:sz w:val="24"/>
          <w:szCs w:val="24"/>
        </w:rPr>
        <w:t>ha</w:t>
      </w:r>
      <w:r w:rsidR="00D5118F">
        <w:rPr>
          <w:rFonts w:ascii="Arial" w:hAnsi="Arial" w:cs="Arial"/>
          <w:sz w:val="24"/>
          <w:szCs w:val="24"/>
        </w:rPr>
        <w:t>ve</w:t>
      </w:r>
      <w:r w:rsidR="008A3CF2" w:rsidRPr="00B1350E">
        <w:rPr>
          <w:rFonts w:ascii="Arial" w:hAnsi="Arial" w:cs="Arial"/>
          <w:sz w:val="24"/>
          <w:szCs w:val="24"/>
        </w:rPr>
        <w:t xml:space="preserve"> </w:t>
      </w:r>
      <w:r w:rsidR="008B1D8F" w:rsidRPr="00B1350E">
        <w:rPr>
          <w:rFonts w:ascii="Arial" w:hAnsi="Arial" w:cs="Arial"/>
          <w:sz w:val="24"/>
          <w:szCs w:val="24"/>
        </w:rPr>
        <w:t>led this initiative</w:t>
      </w:r>
      <w:r w:rsidR="008A3CF2" w:rsidRPr="00B1350E">
        <w:rPr>
          <w:rFonts w:ascii="Arial" w:hAnsi="Arial" w:cs="Arial"/>
          <w:sz w:val="24"/>
          <w:szCs w:val="24"/>
        </w:rPr>
        <w:t xml:space="preserve">, </w:t>
      </w:r>
      <w:r w:rsidR="008B1D8F" w:rsidRPr="00B1350E">
        <w:rPr>
          <w:rFonts w:ascii="Arial" w:hAnsi="Arial" w:cs="Arial"/>
          <w:i/>
          <w:sz w:val="24"/>
          <w:szCs w:val="24"/>
        </w:rPr>
        <w:t>Measuring Success</w:t>
      </w:r>
      <w:r w:rsidR="008A3CF2" w:rsidRPr="00B1350E">
        <w:rPr>
          <w:rFonts w:ascii="Arial" w:hAnsi="Arial" w:cs="Arial"/>
          <w:sz w:val="24"/>
          <w:szCs w:val="24"/>
        </w:rPr>
        <w:t>, since</w:t>
      </w:r>
      <w:r w:rsidR="008B1D8F" w:rsidRPr="00B1350E">
        <w:rPr>
          <w:rFonts w:ascii="Arial" w:hAnsi="Arial" w:cs="Arial"/>
          <w:sz w:val="24"/>
          <w:szCs w:val="24"/>
        </w:rPr>
        <w:t xml:space="preserve"> </w:t>
      </w:r>
      <w:r w:rsidR="00D23226" w:rsidRPr="00B1350E">
        <w:rPr>
          <w:rFonts w:ascii="Arial" w:hAnsi="Arial" w:cs="Arial"/>
          <w:sz w:val="24"/>
          <w:szCs w:val="24"/>
        </w:rPr>
        <w:t xml:space="preserve">its inception </w:t>
      </w:r>
      <w:r w:rsidR="006651B7" w:rsidRPr="00B1350E">
        <w:rPr>
          <w:rFonts w:ascii="Arial" w:hAnsi="Arial" w:cs="Arial"/>
          <w:sz w:val="24"/>
          <w:szCs w:val="24"/>
        </w:rPr>
        <w:t>in March</w:t>
      </w:r>
      <w:r w:rsidR="008B1D8F" w:rsidRPr="00B1350E">
        <w:rPr>
          <w:rFonts w:ascii="Arial" w:hAnsi="Arial" w:cs="Arial"/>
          <w:sz w:val="24"/>
          <w:szCs w:val="24"/>
        </w:rPr>
        <w:t xml:space="preserve"> 2011</w:t>
      </w:r>
      <w:r w:rsidR="00685AA7" w:rsidRPr="00B1350E">
        <w:rPr>
          <w:rFonts w:ascii="Arial" w:hAnsi="Arial" w:cs="Arial"/>
          <w:sz w:val="24"/>
          <w:szCs w:val="24"/>
        </w:rPr>
        <w:t>.</w:t>
      </w:r>
      <w:r w:rsidR="008B1D8F" w:rsidRPr="00B1350E">
        <w:rPr>
          <w:rFonts w:ascii="Arial" w:hAnsi="Arial" w:cs="Arial"/>
          <w:sz w:val="24"/>
          <w:szCs w:val="24"/>
        </w:rPr>
        <w:t xml:space="preserve">  </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 next section </w:t>
      </w:r>
      <w:r w:rsidR="006A7A31" w:rsidRPr="00B1350E">
        <w:rPr>
          <w:rFonts w:ascii="Arial" w:hAnsi="Arial" w:cs="Arial"/>
          <w:sz w:val="24"/>
          <w:szCs w:val="24"/>
        </w:rPr>
        <w:t>summarizes</w:t>
      </w:r>
      <w:r w:rsidRPr="00B1350E">
        <w:rPr>
          <w:rFonts w:ascii="Arial" w:hAnsi="Arial" w:cs="Arial"/>
          <w:sz w:val="24"/>
          <w:szCs w:val="24"/>
        </w:rPr>
        <w:t xml:space="preserve"> </w:t>
      </w:r>
      <w:r w:rsidR="00E80BE6" w:rsidRPr="00B1350E">
        <w:rPr>
          <w:rFonts w:ascii="Arial" w:hAnsi="Arial" w:cs="Arial"/>
          <w:sz w:val="24"/>
          <w:szCs w:val="24"/>
        </w:rPr>
        <w:t xml:space="preserve">theory </w:t>
      </w:r>
      <w:r w:rsidR="009D291F" w:rsidRPr="00B1350E">
        <w:rPr>
          <w:rFonts w:ascii="Arial" w:hAnsi="Arial" w:cs="Arial"/>
          <w:sz w:val="24"/>
          <w:szCs w:val="24"/>
        </w:rPr>
        <w:t>shaping the</w:t>
      </w:r>
      <w:r w:rsidRPr="00B1350E">
        <w:rPr>
          <w:rFonts w:ascii="Arial" w:hAnsi="Arial" w:cs="Arial"/>
          <w:sz w:val="24"/>
          <w:szCs w:val="24"/>
        </w:rPr>
        <w:t xml:space="preserve"> initiative.  The subsequent section </w:t>
      </w:r>
      <w:r w:rsidR="006A7A31" w:rsidRPr="00B1350E">
        <w:rPr>
          <w:rFonts w:ascii="Arial" w:hAnsi="Arial" w:cs="Arial"/>
          <w:sz w:val="24"/>
          <w:szCs w:val="24"/>
        </w:rPr>
        <w:t>describes</w:t>
      </w:r>
      <w:r w:rsidRPr="00B1350E">
        <w:rPr>
          <w:rFonts w:ascii="Arial" w:hAnsi="Arial" w:cs="Arial"/>
          <w:sz w:val="24"/>
          <w:szCs w:val="24"/>
        </w:rPr>
        <w:t xml:space="preserve"> progress of </w:t>
      </w:r>
      <w:r w:rsidRPr="00B1350E">
        <w:rPr>
          <w:rFonts w:ascii="Arial" w:hAnsi="Arial" w:cs="Arial"/>
          <w:i/>
          <w:sz w:val="24"/>
          <w:szCs w:val="24"/>
        </w:rPr>
        <w:t>Measuring Success</w:t>
      </w:r>
      <w:r w:rsidRPr="00B1350E">
        <w:rPr>
          <w:rFonts w:ascii="Arial" w:hAnsi="Arial" w:cs="Arial"/>
          <w:sz w:val="24"/>
          <w:szCs w:val="24"/>
        </w:rPr>
        <w:t xml:space="preserve"> to date. The final section offers</w:t>
      </w:r>
      <w:r w:rsidR="006A7A31" w:rsidRPr="00B1350E">
        <w:rPr>
          <w:rFonts w:ascii="Arial" w:hAnsi="Arial" w:cs="Arial"/>
          <w:sz w:val="24"/>
          <w:szCs w:val="24"/>
        </w:rPr>
        <w:t xml:space="preserve"> </w:t>
      </w:r>
      <w:r w:rsidRPr="00B1350E">
        <w:rPr>
          <w:rFonts w:ascii="Arial" w:hAnsi="Arial" w:cs="Arial"/>
          <w:sz w:val="24"/>
          <w:szCs w:val="24"/>
        </w:rPr>
        <w:t>lessons</w:t>
      </w:r>
      <w:r w:rsidR="006A7A31" w:rsidRPr="00B1350E">
        <w:rPr>
          <w:rFonts w:ascii="Arial" w:hAnsi="Arial" w:cs="Arial"/>
          <w:sz w:val="24"/>
          <w:szCs w:val="24"/>
        </w:rPr>
        <w:t xml:space="preserve"> learned</w:t>
      </w:r>
      <w:r w:rsidRPr="00B1350E">
        <w:rPr>
          <w:rFonts w:ascii="Arial" w:hAnsi="Arial" w:cs="Arial"/>
          <w:sz w:val="24"/>
          <w:szCs w:val="24"/>
        </w:rPr>
        <w:t xml:space="preserve"> </w:t>
      </w:r>
      <w:r w:rsidR="006A7A31" w:rsidRPr="00B1350E">
        <w:rPr>
          <w:rFonts w:ascii="Arial" w:hAnsi="Arial" w:cs="Arial"/>
          <w:sz w:val="24"/>
          <w:szCs w:val="24"/>
        </w:rPr>
        <w:t>to</w:t>
      </w:r>
      <w:r w:rsidR="00E1127F" w:rsidRPr="00B1350E">
        <w:rPr>
          <w:rFonts w:ascii="Arial" w:hAnsi="Arial" w:cs="Arial"/>
          <w:sz w:val="24"/>
          <w:szCs w:val="24"/>
        </w:rPr>
        <w:t xml:space="preserve"> guid</w:t>
      </w:r>
      <w:r w:rsidR="006A7A31" w:rsidRPr="00B1350E">
        <w:rPr>
          <w:rFonts w:ascii="Arial" w:hAnsi="Arial" w:cs="Arial"/>
          <w:sz w:val="24"/>
          <w:szCs w:val="24"/>
        </w:rPr>
        <w:t xml:space="preserve">e </w:t>
      </w:r>
      <w:r w:rsidR="00E1127F" w:rsidRPr="00B1350E">
        <w:rPr>
          <w:rFonts w:ascii="Arial" w:hAnsi="Arial" w:cs="Arial"/>
          <w:sz w:val="24"/>
          <w:szCs w:val="24"/>
        </w:rPr>
        <w:t xml:space="preserve">future </w:t>
      </w:r>
      <w:r w:rsidRPr="00B1350E">
        <w:rPr>
          <w:rFonts w:ascii="Arial" w:hAnsi="Arial" w:cs="Arial"/>
          <w:sz w:val="24"/>
          <w:szCs w:val="24"/>
        </w:rPr>
        <w:t>evaluation research and practice</w:t>
      </w:r>
      <w:r w:rsidR="00585D15" w:rsidRPr="00B1350E">
        <w:rPr>
          <w:rFonts w:ascii="Arial" w:hAnsi="Arial" w:cs="Arial"/>
          <w:sz w:val="24"/>
          <w:szCs w:val="24"/>
        </w:rPr>
        <w:t xml:space="preserve"> in library services</w:t>
      </w:r>
      <w:r w:rsidRPr="00B1350E">
        <w:rPr>
          <w:rFonts w:ascii="Arial" w:hAnsi="Arial" w:cs="Arial"/>
          <w:sz w:val="24"/>
          <w:szCs w:val="24"/>
        </w:rPr>
        <w:t>.</w:t>
      </w:r>
    </w:p>
    <w:p w:rsidR="008B1D8F" w:rsidRPr="00AD69F4" w:rsidRDefault="008B1D8F" w:rsidP="008B1D8F">
      <w:pPr>
        <w:pStyle w:val="Body1"/>
        <w:spacing w:before="100" w:beforeAutospacing="1" w:after="100" w:afterAutospacing="1" w:line="360" w:lineRule="auto"/>
        <w:rPr>
          <w:rFonts w:ascii="Arial" w:hAnsi="Arial" w:cs="Arial"/>
          <w:b/>
          <w:sz w:val="28"/>
          <w:szCs w:val="28"/>
        </w:rPr>
      </w:pPr>
      <w:r w:rsidRPr="00AD69F4">
        <w:rPr>
          <w:rFonts w:ascii="Arial" w:hAnsi="Arial" w:cs="Arial"/>
          <w:b/>
          <w:sz w:val="28"/>
          <w:szCs w:val="28"/>
        </w:rPr>
        <w:lastRenderedPageBreak/>
        <w:t>Theoretical Background</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Program evaluation </w:t>
      </w:r>
      <w:r w:rsidR="00E80BE6" w:rsidRPr="00B1350E">
        <w:rPr>
          <w:rFonts w:ascii="Arial" w:hAnsi="Arial" w:cs="Arial"/>
          <w:sz w:val="24"/>
          <w:szCs w:val="24"/>
        </w:rPr>
        <w:t xml:space="preserve">includes </w:t>
      </w:r>
      <w:r w:rsidRPr="00B1350E">
        <w:rPr>
          <w:rFonts w:ascii="Arial" w:hAnsi="Arial" w:cs="Arial"/>
          <w:sz w:val="24"/>
          <w:szCs w:val="24"/>
        </w:rPr>
        <w:t xml:space="preserve">more than monitoring and </w:t>
      </w:r>
      <w:r w:rsidR="00E80BE6" w:rsidRPr="00B1350E">
        <w:rPr>
          <w:rFonts w:ascii="Arial" w:hAnsi="Arial" w:cs="Arial"/>
          <w:sz w:val="24"/>
          <w:szCs w:val="24"/>
        </w:rPr>
        <w:t>measure</w:t>
      </w:r>
      <w:r w:rsidR="00585D15" w:rsidRPr="00B1350E">
        <w:rPr>
          <w:rFonts w:ascii="Arial" w:hAnsi="Arial" w:cs="Arial"/>
          <w:sz w:val="24"/>
          <w:szCs w:val="24"/>
        </w:rPr>
        <w:t>ment</w:t>
      </w:r>
      <w:r w:rsidRPr="00B1350E">
        <w:rPr>
          <w:rFonts w:ascii="Arial" w:hAnsi="Arial" w:cs="Arial"/>
          <w:sz w:val="24"/>
          <w:szCs w:val="24"/>
        </w:rPr>
        <w:t>.  It involves systematic thinking</w:t>
      </w:r>
      <w:r w:rsidR="00575EF7" w:rsidRPr="00B1350E">
        <w:rPr>
          <w:rFonts w:ascii="Arial" w:hAnsi="Arial" w:cs="Arial"/>
          <w:sz w:val="24"/>
          <w:szCs w:val="24"/>
        </w:rPr>
        <w:t xml:space="preserve"> about a program</w:t>
      </w:r>
      <w:r w:rsidR="00E80BE6" w:rsidRPr="00B1350E">
        <w:rPr>
          <w:rFonts w:ascii="Arial" w:hAnsi="Arial" w:cs="Arial"/>
          <w:sz w:val="24"/>
          <w:szCs w:val="24"/>
        </w:rPr>
        <w:t xml:space="preserve">, </w:t>
      </w:r>
      <w:r w:rsidRPr="00B1350E">
        <w:rPr>
          <w:rFonts w:ascii="Arial" w:hAnsi="Arial" w:cs="Arial"/>
          <w:sz w:val="24"/>
          <w:szCs w:val="24"/>
        </w:rPr>
        <w:t xml:space="preserve">raising meaningful questions, </w:t>
      </w:r>
      <w:r w:rsidR="00E80BE6" w:rsidRPr="00B1350E">
        <w:rPr>
          <w:rFonts w:ascii="Arial" w:hAnsi="Arial" w:cs="Arial"/>
          <w:sz w:val="24"/>
          <w:szCs w:val="24"/>
        </w:rPr>
        <w:t xml:space="preserve">gathering </w:t>
      </w:r>
      <w:r w:rsidRPr="00B1350E">
        <w:rPr>
          <w:rFonts w:ascii="Arial" w:hAnsi="Arial" w:cs="Arial"/>
          <w:sz w:val="24"/>
          <w:szCs w:val="24"/>
        </w:rPr>
        <w:t>and assess</w:t>
      </w:r>
      <w:r w:rsidR="00E80BE6" w:rsidRPr="00B1350E">
        <w:rPr>
          <w:rFonts w:ascii="Arial" w:hAnsi="Arial" w:cs="Arial"/>
          <w:sz w:val="24"/>
          <w:szCs w:val="24"/>
        </w:rPr>
        <w:t>ing</w:t>
      </w:r>
      <w:r w:rsidRPr="00B1350E">
        <w:rPr>
          <w:rFonts w:ascii="Arial" w:hAnsi="Arial" w:cs="Arial"/>
          <w:sz w:val="24"/>
          <w:szCs w:val="24"/>
        </w:rPr>
        <w:t xml:space="preserve"> evidence </w:t>
      </w:r>
      <w:r w:rsidR="00E80BE6" w:rsidRPr="00B1350E">
        <w:rPr>
          <w:rFonts w:ascii="Arial" w:hAnsi="Arial" w:cs="Arial"/>
          <w:sz w:val="24"/>
          <w:szCs w:val="24"/>
        </w:rPr>
        <w:t xml:space="preserve">to provide </w:t>
      </w:r>
      <w:r w:rsidRPr="00B1350E">
        <w:rPr>
          <w:rFonts w:ascii="Arial" w:hAnsi="Arial" w:cs="Arial"/>
          <w:sz w:val="24"/>
          <w:szCs w:val="24"/>
        </w:rPr>
        <w:t xml:space="preserve">answers, and applying </w:t>
      </w:r>
      <w:r w:rsidR="005F6AA7" w:rsidRPr="00B1350E">
        <w:rPr>
          <w:rFonts w:ascii="Arial" w:hAnsi="Arial" w:cs="Arial"/>
          <w:sz w:val="24"/>
          <w:szCs w:val="24"/>
        </w:rPr>
        <w:t xml:space="preserve">all </w:t>
      </w:r>
      <w:r w:rsidRPr="00B1350E">
        <w:rPr>
          <w:rFonts w:ascii="Arial" w:hAnsi="Arial" w:cs="Arial"/>
          <w:sz w:val="24"/>
          <w:szCs w:val="24"/>
        </w:rPr>
        <w:t xml:space="preserve">to </w:t>
      </w:r>
      <w:r w:rsidR="008A3CF2" w:rsidRPr="00B1350E">
        <w:rPr>
          <w:rFonts w:ascii="Arial" w:hAnsi="Arial" w:cs="Arial"/>
          <w:sz w:val="24"/>
          <w:szCs w:val="24"/>
        </w:rPr>
        <w:t xml:space="preserve">strengthen </w:t>
      </w:r>
      <w:r w:rsidR="00D23226" w:rsidRPr="00B1350E">
        <w:rPr>
          <w:rFonts w:ascii="Arial" w:hAnsi="Arial" w:cs="Arial"/>
          <w:sz w:val="24"/>
          <w:szCs w:val="24"/>
        </w:rPr>
        <w:t>a</w:t>
      </w:r>
      <w:r w:rsidRPr="00B1350E">
        <w:rPr>
          <w:rFonts w:ascii="Arial" w:hAnsi="Arial" w:cs="Arial"/>
          <w:sz w:val="24"/>
          <w:szCs w:val="24"/>
        </w:rPr>
        <w:t xml:space="preserve"> program (</w:t>
      </w:r>
      <w:r w:rsidR="00DA2653" w:rsidRPr="00B1350E">
        <w:rPr>
          <w:rFonts w:ascii="Arial" w:hAnsi="Arial" w:cs="Arial"/>
          <w:sz w:val="24"/>
          <w:szCs w:val="24"/>
        </w:rPr>
        <w:t>Russ-Eft and Preskill, 2009</w:t>
      </w:r>
      <w:r w:rsidRPr="00B1350E">
        <w:rPr>
          <w:rFonts w:ascii="Arial" w:hAnsi="Arial" w:cs="Arial"/>
          <w:sz w:val="24"/>
          <w:szCs w:val="24"/>
        </w:rPr>
        <w:t xml:space="preserve">).  </w:t>
      </w:r>
      <w:r w:rsidR="005F6AA7" w:rsidRPr="00B1350E">
        <w:rPr>
          <w:rFonts w:ascii="Arial" w:hAnsi="Arial" w:cs="Arial"/>
          <w:sz w:val="24"/>
          <w:szCs w:val="24"/>
        </w:rPr>
        <w:t>There are as many approaches to program evaluation as</w:t>
      </w:r>
      <w:r w:rsidRPr="00B1350E">
        <w:rPr>
          <w:rFonts w:ascii="Arial" w:hAnsi="Arial" w:cs="Arial"/>
          <w:sz w:val="24"/>
          <w:szCs w:val="24"/>
        </w:rPr>
        <w:t xml:space="preserve"> to</w:t>
      </w:r>
      <w:r w:rsidR="00D5118F">
        <w:rPr>
          <w:rFonts w:ascii="Arial" w:hAnsi="Arial" w:cs="Arial"/>
          <w:sz w:val="24"/>
          <w:szCs w:val="24"/>
        </w:rPr>
        <w:t xml:space="preserve"> library program administration.</w:t>
      </w:r>
      <w:r w:rsidRPr="00B1350E">
        <w:rPr>
          <w:rFonts w:ascii="Arial" w:hAnsi="Arial" w:cs="Arial"/>
          <w:sz w:val="24"/>
          <w:szCs w:val="24"/>
        </w:rPr>
        <w:t xml:space="preserve"> </w:t>
      </w:r>
    </w:p>
    <w:p w:rsidR="008B1D8F" w:rsidRPr="00B1350E" w:rsidRDefault="00624730"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L</w:t>
      </w:r>
      <w:r w:rsidR="008B1D8F" w:rsidRPr="00B1350E">
        <w:rPr>
          <w:rFonts w:ascii="Arial" w:hAnsi="Arial" w:cs="Arial"/>
          <w:sz w:val="24"/>
          <w:szCs w:val="24"/>
        </w:rPr>
        <w:t>ibrary programs are dynamic and continuously shaped by external influences</w:t>
      </w:r>
      <w:r w:rsidRPr="00B1350E">
        <w:rPr>
          <w:rFonts w:ascii="Arial" w:hAnsi="Arial" w:cs="Arial"/>
          <w:sz w:val="24"/>
          <w:szCs w:val="24"/>
        </w:rPr>
        <w:t xml:space="preserve">; </w:t>
      </w:r>
      <w:r w:rsidR="005F6AA7" w:rsidRPr="00B1350E">
        <w:rPr>
          <w:rFonts w:ascii="Arial" w:hAnsi="Arial" w:cs="Arial"/>
          <w:sz w:val="24"/>
          <w:szCs w:val="24"/>
        </w:rPr>
        <w:t xml:space="preserve">useful </w:t>
      </w:r>
      <w:r w:rsidRPr="00B1350E">
        <w:rPr>
          <w:rFonts w:ascii="Arial" w:hAnsi="Arial" w:cs="Arial"/>
          <w:sz w:val="24"/>
          <w:szCs w:val="24"/>
        </w:rPr>
        <w:t xml:space="preserve">evaluation also relies on </w:t>
      </w:r>
      <w:r w:rsidR="008B1D8F" w:rsidRPr="00B1350E">
        <w:rPr>
          <w:rFonts w:ascii="Arial" w:hAnsi="Arial" w:cs="Arial"/>
          <w:sz w:val="24"/>
          <w:szCs w:val="24"/>
        </w:rPr>
        <w:t xml:space="preserve">the capacity </w:t>
      </w:r>
      <w:r w:rsidR="00E84D93" w:rsidRPr="00B1350E">
        <w:rPr>
          <w:rFonts w:ascii="Arial" w:hAnsi="Arial" w:cs="Arial"/>
          <w:sz w:val="24"/>
          <w:szCs w:val="24"/>
        </w:rPr>
        <w:t xml:space="preserve">of library </w:t>
      </w:r>
      <w:r w:rsidR="00DA2653" w:rsidRPr="00B1350E">
        <w:rPr>
          <w:rFonts w:ascii="Arial" w:hAnsi="Arial" w:cs="Arial"/>
          <w:sz w:val="24"/>
          <w:szCs w:val="24"/>
        </w:rPr>
        <w:t xml:space="preserve">program </w:t>
      </w:r>
      <w:r w:rsidR="007C557D" w:rsidRPr="00B1350E">
        <w:rPr>
          <w:rFonts w:ascii="Arial" w:hAnsi="Arial" w:cs="Arial"/>
          <w:sz w:val="24"/>
          <w:szCs w:val="24"/>
        </w:rPr>
        <w:t>administrators to</w:t>
      </w:r>
      <w:r w:rsidR="008B1D8F" w:rsidRPr="00B1350E">
        <w:rPr>
          <w:rFonts w:ascii="Arial" w:hAnsi="Arial" w:cs="Arial"/>
          <w:sz w:val="24"/>
          <w:szCs w:val="24"/>
        </w:rPr>
        <w:t xml:space="preserve"> </w:t>
      </w:r>
      <w:r w:rsidR="00685AA7" w:rsidRPr="00B1350E">
        <w:rPr>
          <w:rFonts w:ascii="Arial" w:hAnsi="Arial" w:cs="Arial"/>
          <w:sz w:val="24"/>
          <w:szCs w:val="24"/>
        </w:rPr>
        <w:t xml:space="preserve">effectively </w:t>
      </w:r>
      <w:r w:rsidR="008B1D8F" w:rsidRPr="00B1350E">
        <w:rPr>
          <w:rFonts w:ascii="Arial" w:hAnsi="Arial" w:cs="Arial"/>
          <w:sz w:val="24"/>
          <w:szCs w:val="24"/>
        </w:rPr>
        <w:t>adapt</w:t>
      </w:r>
      <w:r w:rsidR="00DA2653" w:rsidRPr="00B1350E">
        <w:rPr>
          <w:rFonts w:ascii="Arial" w:hAnsi="Arial" w:cs="Arial"/>
          <w:sz w:val="24"/>
          <w:szCs w:val="24"/>
        </w:rPr>
        <w:t xml:space="preserve">.  When external influences shift substantially enough, </w:t>
      </w:r>
      <w:r w:rsidR="000E7D27">
        <w:rPr>
          <w:rFonts w:ascii="Arial" w:hAnsi="Arial" w:cs="Arial"/>
          <w:sz w:val="24"/>
          <w:szCs w:val="24"/>
        </w:rPr>
        <w:t>the</w:t>
      </w:r>
      <w:r w:rsidR="000E7D27" w:rsidRPr="00B1350E">
        <w:rPr>
          <w:rFonts w:ascii="Arial" w:hAnsi="Arial" w:cs="Arial"/>
          <w:sz w:val="24"/>
          <w:szCs w:val="24"/>
        </w:rPr>
        <w:t xml:space="preserve"> </w:t>
      </w:r>
      <w:r w:rsidR="00DA2653" w:rsidRPr="00B1350E">
        <w:rPr>
          <w:rFonts w:ascii="Arial" w:hAnsi="Arial" w:cs="Arial"/>
          <w:sz w:val="24"/>
          <w:szCs w:val="24"/>
        </w:rPr>
        <w:t xml:space="preserve">evaluation </w:t>
      </w:r>
      <w:r w:rsidR="00585D15" w:rsidRPr="00B1350E">
        <w:rPr>
          <w:rFonts w:ascii="Arial" w:hAnsi="Arial" w:cs="Arial"/>
          <w:sz w:val="24"/>
          <w:szCs w:val="24"/>
        </w:rPr>
        <w:t>approach</w:t>
      </w:r>
      <w:r w:rsidR="00DA2653" w:rsidRPr="00B1350E">
        <w:rPr>
          <w:rFonts w:ascii="Arial" w:hAnsi="Arial" w:cs="Arial"/>
          <w:sz w:val="24"/>
          <w:szCs w:val="24"/>
        </w:rPr>
        <w:t xml:space="preserve"> </w:t>
      </w:r>
      <w:r w:rsidR="000E7D27">
        <w:rPr>
          <w:rFonts w:ascii="Arial" w:hAnsi="Arial" w:cs="Arial"/>
          <w:sz w:val="24"/>
          <w:szCs w:val="24"/>
        </w:rPr>
        <w:t>also</w:t>
      </w:r>
      <w:r w:rsidR="001F7257">
        <w:rPr>
          <w:rFonts w:ascii="Arial" w:hAnsi="Arial" w:cs="Arial"/>
          <w:sz w:val="24"/>
          <w:szCs w:val="24"/>
        </w:rPr>
        <w:t xml:space="preserve"> </w:t>
      </w:r>
      <w:r w:rsidR="00DA2653" w:rsidRPr="00B1350E">
        <w:rPr>
          <w:rFonts w:ascii="Arial" w:hAnsi="Arial" w:cs="Arial"/>
          <w:sz w:val="24"/>
          <w:szCs w:val="24"/>
        </w:rPr>
        <w:t xml:space="preserve">must change to retain </w:t>
      </w:r>
      <w:r w:rsidR="00E2011E" w:rsidRPr="00B1350E">
        <w:rPr>
          <w:rFonts w:ascii="Arial" w:hAnsi="Arial" w:cs="Arial"/>
          <w:sz w:val="24"/>
          <w:szCs w:val="24"/>
        </w:rPr>
        <w:t>value</w:t>
      </w:r>
      <w:r w:rsidR="00DA2653" w:rsidRPr="00B1350E">
        <w:rPr>
          <w:rFonts w:ascii="Arial" w:hAnsi="Arial" w:cs="Arial"/>
          <w:sz w:val="24"/>
          <w:szCs w:val="24"/>
        </w:rPr>
        <w:t xml:space="preserve">.  </w:t>
      </w:r>
      <w:r w:rsidR="005F6AA7" w:rsidRPr="00B1350E">
        <w:rPr>
          <w:rFonts w:ascii="Arial" w:hAnsi="Arial" w:cs="Arial"/>
          <w:sz w:val="24"/>
          <w:szCs w:val="24"/>
        </w:rPr>
        <w:t>T</w:t>
      </w:r>
      <w:r w:rsidR="008B1D8F" w:rsidRPr="00B1350E">
        <w:rPr>
          <w:rFonts w:ascii="Arial" w:hAnsi="Arial" w:cs="Arial"/>
          <w:sz w:val="24"/>
          <w:szCs w:val="24"/>
        </w:rPr>
        <w:t xml:space="preserve">wo primary reasons </w:t>
      </w:r>
      <w:r w:rsidR="005F6AA7" w:rsidRPr="00B1350E">
        <w:rPr>
          <w:rFonts w:ascii="Arial" w:hAnsi="Arial" w:cs="Arial"/>
          <w:sz w:val="24"/>
          <w:szCs w:val="24"/>
        </w:rPr>
        <w:t>may make</w:t>
      </w:r>
      <w:r w:rsidR="008B1D8F" w:rsidRPr="00B1350E">
        <w:rPr>
          <w:rFonts w:ascii="Arial" w:hAnsi="Arial" w:cs="Arial"/>
          <w:sz w:val="24"/>
          <w:szCs w:val="24"/>
        </w:rPr>
        <w:t xml:space="preserve"> </w:t>
      </w:r>
      <w:r w:rsidR="005F6AA7" w:rsidRPr="00B1350E">
        <w:rPr>
          <w:rFonts w:ascii="Arial" w:hAnsi="Arial" w:cs="Arial"/>
          <w:sz w:val="24"/>
          <w:szCs w:val="24"/>
        </w:rPr>
        <w:t xml:space="preserve">an </w:t>
      </w:r>
      <w:r w:rsidR="008B1D8F" w:rsidRPr="00B1350E">
        <w:rPr>
          <w:rFonts w:ascii="Arial" w:hAnsi="Arial" w:cs="Arial"/>
          <w:sz w:val="24"/>
          <w:szCs w:val="24"/>
        </w:rPr>
        <w:t>evaluation approach stagnant and ineffective</w:t>
      </w:r>
      <w:r w:rsidR="00747D81">
        <w:rPr>
          <w:rFonts w:ascii="Arial" w:hAnsi="Arial" w:cs="Arial"/>
          <w:sz w:val="24"/>
          <w:szCs w:val="24"/>
        </w:rPr>
        <w:t>, consequently requiring adaptation</w:t>
      </w:r>
      <w:r w:rsidR="008B1D8F" w:rsidRPr="00B1350E">
        <w:rPr>
          <w:rFonts w:ascii="Arial" w:hAnsi="Arial" w:cs="Arial"/>
          <w:sz w:val="24"/>
          <w:szCs w:val="24"/>
        </w:rPr>
        <w:t xml:space="preserve">.  First, people act </w:t>
      </w:r>
      <w:r w:rsidR="005F6AA7" w:rsidRPr="00B1350E">
        <w:rPr>
          <w:rFonts w:ascii="Arial" w:hAnsi="Arial" w:cs="Arial"/>
          <w:sz w:val="24"/>
          <w:szCs w:val="24"/>
        </w:rPr>
        <w:t>surrounded by</w:t>
      </w:r>
      <w:r w:rsidR="008B1D8F" w:rsidRPr="00B1350E">
        <w:rPr>
          <w:rFonts w:ascii="Arial" w:hAnsi="Arial" w:cs="Arial"/>
          <w:sz w:val="24"/>
          <w:szCs w:val="24"/>
        </w:rPr>
        <w:t xml:space="preserve"> uncertainties</w:t>
      </w:r>
      <w:r w:rsidRPr="00B1350E">
        <w:rPr>
          <w:rFonts w:ascii="Arial" w:hAnsi="Arial" w:cs="Arial"/>
          <w:sz w:val="24"/>
          <w:szCs w:val="24"/>
        </w:rPr>
        <w:t>, and as in</w:t>
      </w:r>
      <w:r w:rsidR="005F6AA7" w:rsidRPr="00B1350E">
        <w:rPr>
          <w:rFonts w:ascii="Arial" w:hAnsi="Arial" w:cs="Arial"/>
          <w:sz w:val="24"/>
          <w:szCs w:val="24"/>
        </w:rPr>
        <w:t xml:space="preserve"> other a</w:t>
      </w:r>
      <w:r w:rsidRPr="00B1350E">
        <w:rPr>
          <w:rFonts w:ascii="Arial" w:hAnsi="Arial" w:cs="Arial"/>
          <w:sz w:val="24"/>
          <w:szCs w:val="24"/>
        </w:rPr>
        <w:t>rea</w:t>
      </w:r>
      <w:r w:rsidR="005F6AA7" w:rsidRPr="00B1350E">
        <w:rPr>
          <w:rFonts w:ascii="Arial" w:hAnsi="Arial" w:cs="Arial"/>
          <w:sz w:val="24"/>
          <w:szCs w:val="24"/>
        </w:rPr>
        <w:t>s of society</w:t>
      </w:r>
      <w:r w:rsidR="00D402B1" w:rsidRPr="00B1350E">
        <w:rPr>
          <w:rFonts w:ascii="Arial" w:hAnsi="Arial" w:cs="Arial"/>
          <w:sz w:val="24"/>
          <w:szCs w:val="24"/>
        </w:rPr>
        <w:t>,</w:t>
      </w:r>
      <w:r w:rsidR="005F6AA7" w:rsidRPr="00B1350E">
        <w:rPr>
          <w:rFonts w:ascii="Arial" w:hAnsi="Arial" w:cs="Arial"/>
          <w:sz w:val="24"/>
          <w:szCs w:val="24"/>
        </w:rPr>
        <w:t xml:space="preserve"> t</w:t>
      </w:r>
      <w:r w:rsidR="008B1D8F" w:rsidRPr="00B1350E">
        <w:rPr>
          <w:rFonts w:ascii="Arial" w:hAnsi="Arial" w:cs="Arial"/>
          <w:sz w:val="24"/>
          <w:szCs w:val="24"/>
        </w:rPr>
        <w:t xml:space="preserve">he knowledge </w:t>
      </w:r>
      <w:r w:rsidR="005F6AA7" w:rsidRPr="00B1350E">
        <w:rPr>
          <w:rFonts w:ascii="Arial" w:hAnsi="Arial" w:cs="Arial"/>
          <w:sz w:val="24"/>
          <w:szCs w:val="24"/>
        </w:rPr>
        <w:t xml:space="preserve">base </w:t>
      </w:r>
      <w:r w:rsidR="008B1D8F" w:rsidRPr="00B1350E">
        <w:rPr>
          <w:rFonts w:ascii="Arial" w:hAnsi="Arial" w:cs="Arial"/>
          <w:sz w:val="24"/>
          <w:szCs w:val="24"/>
        </w:rPr>
        <w:t xml:space="preserve">changes </w:t>
      </w:r>
      <w:r w:rsidRPr="00B1350E">
        <w:rPr>
          <w:rFonts w:ascii="Arial" w:hAnsi="Arial" w:cs="Arial"/>
          <w:sz w:val="24"/>
          <w:szCs w:val="24"/>
        </w:rPr>
        <w:t>continuously</w:t>
      </w:r>
      <w:r w:rsidR="008B1D8F" w:rsidRPr="00B1350E">
        <w:rPr>
          <w:rFonts w:ascii="Arial" w:hAnsi="Arial" w:cs="Arial"/>
          <w:sz w:val="24"/>
          <w:szCs w:val="24"/>
        </w:rPr>
        <w:t xml:space="preserve">.  A </w:t>
      </w:r>
      <w:r w:rsidR="005F6AA7" w:rsidRPr="00B1350E">
        <w:rPr>
          <w:rFonts w:ascii="Arial" w:hAnsi="Arial" w:cs="Arial"/>
          <w:sz w:val="24"/>
          <w:szCs w:val="24"/>
        </w:rPr>
        <w:t xml:space="preserve">ten-year-old </w:t>
      </w:r>
      <w:r w:rsidR="008B1D8F" w:rsidRPr="00B1350E">
        <w:rPr>
          <w:rFonts w:ascii="Arial" w:hAnsi="Arial" w:cs="Arial"/>
          <w:sz w:val="24"/>
          <w:szCs w:val="24"/>
        </w:rPr>
        <w:t xml:space="preserve">“best practice” may no longer reflect the </w:t>
      </w:r>
      <w:r w:rsidRPr="00B1350E">
        <w:rPr>
          <w:rFonts w:ascii="Arial" w:hAnsi="Arial" w:cs="Arial"/>
          <w:sz w:val="24"/>
          <w:szCs w:val="24"/>
        </w:rPr>
        <w:t xml:space="preserve">strongest current </w:t>
      </w:r>
      <w:r w:rsidR="008B1D8F" w:rsidRPr="00B1350E">
        <w:rPr>
          <w:rFonts w:ascii="Arial" w:hAnsi="Arial" w:cs="Arial"/>
          <w:sz w:val="24"/>
          <w:szCs w:val="24"/>
        </w:rPr>
        <w:t>possibilities.  Second</w:t>
      </w:r>
      <w:r w:rsidR="0021479A" w:rsidRPr="00B1350E">
        <w:rPr>
          <w:rFonts w:ascii="Arial" w:hAnsi="Arial" w:cs="Arial"/>
          <w:sz w:val="24"/>
          <w:szCs w:val="24"/>
        </w:rPr>
        <w:t>,</w:t>
      </w:r>
      <w:r w:rsidR="008B1D8F" w:rsidRPr="00B1350E">
        <w:rPr>
          <w:rFonts w:ascii="Arial" w:hAnsi="Arial" w:cs="Arial"/>
          <w:sz w:val="24"/>
          <w:szCs w:val="24"/>
        </w:rPr>
        <w:t xml:space="preserve"> people</w:t>
      </w:r>
      <w:r w:rsidR="001A4AAF" w:rsidRPr="00B1350E">
        <w:rPr>
          <w:rFonts w:ascii="Arial" w:hAnsi="Arial" w:cs="Arial"/>
          <w:sz w:val="24"/>
          <w:szCs w:val="24"/>
        </w:rPr>
        <w:t xml:space="preserve"> </w:t>
      </w:r>
      <w:r w:rsidR="008B1D8F" w:rsidRPr="00B1350E">
        <w:rPr>
          <w:rFonts w:ascii="Arial" w:hAnsi="Arial" w:cs="Arial"/>
          <w:sz w:val="24"/>
          <w:szCs w:val="24"/>
        </w:rPr>
        <w:t xml:space="preserve">resist change.  </w:t>
      </w:r>
      <w:r w:rsidR="005F6AA7" w:rsidRPr="00B1350E">
        <w:rPr>
          <w:rFonts w:ascii="Arial" w:hAnsi="Arial" w:cs="Arial"/>
          <w:sz w:val="24"/>
          <w:szCs w:val="24"/>
        </w:rPr>
        <w:t>I</w:t>
      </w:r>
      <w:r w:rsidR="008B1D8F" w:rsidRPr="00B1350E">
        <w:rPr>
          <w:rFonts w:ascii="Arial" w:hAnsi="Arial" w:cs="Arial"/>
          <w:sz w:val="24"/>
          <w:szCs w:val="24"/>
        </w:rPr>
        <w:t>nnovation</w:t>
      </w:r>
      <w:r w:rsidR="005F6AA7" w:rsidRPr="00B1350E">
        <w:rPr>
          <w:rFonts w:ascii="Arial" w:hAnsi="Arial" w:cs="Arial"/>
          <w:sz w:val="24"/>
          <w:szCs w:val="24"/>
        </w:rPr>
        <w:t xml:space="preserve"> takes effort</w:t>
      </w:r>
      <w:r w:rsidRPr="00B1350E">
        <w:rPr>
          <w:rFonts w:ascii="Arial" w:hAnsi="Arial" w:cs="Arial"/>
          <w:sz w:val="24"/>
          <w:szCs w:val="24"/>
        </w:rPr>
        <w:t>.  R</w:t>
      </w:r>
      <w:r w:rsidR="005F6AA7" w:rsidRPr="00B1350E">
        <w:rPr>
          <w:rFonts w:ascii="Arial" w:hAnsi="Arial" w:cs="Arial"/>
          <w:sz w:val="24"/>
          <w:szCs w:val="24"/>
        </w:rPr>
        <w:t xml:space="preserve">epeated and </w:t>
      </w:r>
      <w:r w:rsidR="008B1D8F" w:rsidRPr="00B1350E">
        <w:rPr>
          <w:rFonts w:ascii="Arial" w:hAnsi="Arial" w:cs="Arial"/>
          <w:sz w:val="24"/>
          <w:szCs w:val="24"/>
        </w:rPr>
        <w:t xml:space="preserve">significant change can </w:t>
      </w:r>
      <w:r w:rsidR="005F6AA7" w:rsidRPr="00B1350E">
        <w:rPr>
          <w:rFonts w:ascii="Arial" w:hAnsi="Arial" w:cs="Arial"/>
          <w:sz w:val="24"/>
          <w:szCs w:val="24"/>
        </w:rPr>
        <w:t xml:space="preserve">cause </w:t>
      </w:r>
      <w:r w:rsidR="008B1D8F" w:rsidRPr="00B1350E">
        <w:rPr>
          <w:rFonts w:ascii="Arial" w:hAnsi="Arial" w:cs="Arial"/>
          <w:sz w:val="24"/>
          <w:szCs w:val="24"/>
        </w:rPr>
        <w:t>burn out</w:t>
      </w:r>
      <w:r w:rsidR="00D23226" w:rsidRPr="00B1350E">
        <w:rPr>
          <w:rFonts w:ascii="Arial" w:hAnsi="Arial" w:cs="Arial"/>
          <w:sz w:val="24"/>
          <w:szCs w:val="24"/>
        </w:rPr>
        <w:t xml:space="preserve">, </w:t>
      </w:r>
      <w:r w:rsidR="00D402B1" w:rsidRPr="00B1350E">
        <w:rPr>
          <w:rFonts w:ascii="Arial" w:hAnsi="Arial" w:cs="Arial"/>
          <w:sz w:val="24"/>
          <w:szCs w:val="24"/>
        </w:rPr>
        <w:t>compromising</w:t>
      </w:r>
      <w:r w:rsidRPr="00B1350E">
        <w:rPr>
          <w:rFonts w:ascii="Arial" w:hAnsi="Arial" w:cs="Arial"/>
          <w:sz w:val="24"/>
          <w:szCs w:val="24"/>
        </w:rPr>
        <w:t xml:space="preserve"> the effectiveness of an evaluation approach selected in the past.  </w:t>
      </w:r>
    </w:p>
    <w:p w:rsidR="00D826EE" w:rsidRPr="00B1350E" w:rsidRDefault="005F6AA7" w:rsidP="00B503ED">
      <w:pPr>
        <w:pStyle w:val="Heading3"/>
        <w:shd w:val="clear" w:color="auto" w:fill="FFFFFF"/>
        <w:spacing w:before="0" w:beforeAutospacing="0" w:after="0" w:afterAutospacing="0" w:line="360" w:lineRule="auto"/>
        <w:rPr>
          <w:rFonts w:ascii="Arial" w:hAnsi="Arial" w:cs="Arial"/>
          <w:b w:val="0"/>
          <w:sz w:val="24"/>
          <w:szCs w:val="24"/>
        </w:rPr>
      </w:pPr>
      <w:r w:rsidRPr="00B1350E">
        <w:rPr>
          <w:rFonts w:ascii="Arial" w:hAnsi="Arial" w:cs="Arial"/>
          <w:b w:val="0"/>
          <w:sz w:val="24"/>
          <w:szCs w:val="24"/>
        </w:rPr>
        <w:t xml:space="preserve">Federal emphasis </w:t>
      </w:r>
      <w:r w:rsidR="00624730" w:rsidRPr="00B1350E">
        <w:rPr>
          <w:rFonts w:ascii="Arial" w:hAnsi="Arial" w:cs="Arial"/>
          <w:b w:val="0"/>
          <w:sz w:val="24"/>
          <w:szCs w:val="24"/>
        </w:rPr>
        <w:t>o</w:t>
      </w:r>
      <w:r w:rsidR="00585D15" w:rsidRPr="00B1350E">
        <w:rPr>
          <w:rFonts w:ascii="Arial" w:hAnsi="Arial" w:cs="Arial"/>
          <w:b w:val="0"/>
          <w:sz w:val="24"/>
          <w:szCs w:val="24"/>
        </w:rPr>
        <w:t xml:space="preserve">n </w:t>
      </w:r>
      <w:r w:rsidRPr="00B1350E">
        <w:rPr>
          <w:rFonts w:ascii="Arial" w:hAnsi="Arial" w:cs="Arial"/>
          <w:b w:val="0"/>
          <w:sz w:val="24"/>
          <w:szCs w:val="24"/>
        </w:rPr>
        <w:t>e</w:t>
      </w:r>
      <w:r w:rsidR="0012477C" w:rsidRPr="00B1350E">
        <w:rPr>
          <w:rFonts w:ascii="Arial" w:hAnsi="Arial" w:cs="Arial"/>
          <w:b w:val="0"/>
          <w:sz w:val="24"/>
          <w:szCs w:val="24"/>
        </w:rPr>
        <w:t>valuation</w:t>
      </w:r>
      <w:r w:rsidRPr="00B1350E">
        <w:rPr>
          <w:rFonts w:ascii="Arial" w:hAnsi="Arial" w:cs="Arial"/>
          <w:b w:val="0"/>
          <w:sz w:val="24"/>
          <w:szCs w:val="24"/>
        </w:rPr>
        <w:t xml:space="preserve"> started</w:t>
      </w:r>
      <w:r w:rsidR="0012477C" w:rsidRPr="00B1350E">
        <w:rPr>
          <w:rFonts w:ascii="Arial" w:hAnsi="Arial" w:cs="Arial"/>
          <w:b w:val="0"/>
          <w:sz w:val="24"/>
          <w:szCs w:val="24"/>
        </w:rPr>
        <w:t xml:space="preserve"> in the late 1960s with the growth of Great Society Programs (see, </w:t>
      </w:r>
      <w:r w:rsidRPr="00B1350E">
        <w:rPr>
          <w:rFonts w:ascii="Arial" w:hAnsi="Arial" w:cs="Arial"/>
          <w:b w:val="0"/>
          <w:sz w:val="24"/>
          <w:szCs w:val="24"/>
        </w:rPr>
        <w:t>e.g.</w:t>
      </w:r>
      <w:r w:rsidR="0012477C" w:rsidRPr="00B1350E">
        <w:rPr>
          <w:rFonts w:ascii="Arial" w:hAnsi="Arial" w:cs="Arial"/>
          <w:b w:val="0"/>
          <w:sz w:val="24"/>
          <w:szCs w:val="24"/>
        </w:rPr>
        <w:t xml:space="preserve">, Weiss, 1972).  </w:t>
      </w:r>
      <w:r w:rsidR="00624730" w:rsidRPr="00B1350E">
        <w:rPr>
          <w:rFonts w:ascii="Arial" w:hAnsi="Arial" w:cs="Arial"/>
          <w:b w:val="0"/>
          <w:sz w:val="24"/>
          <w:szCs w:val="24"/>
        </w:rPr>
        <w:t>E</w:t>
      </w:r>
      <w:r w:rsidR="00D23226" w:rsidRPr="00B1350E">
        <w:rPr>
          <w:rFonts w:ascii="Arial" w:hAnsi="Arial" w:cs="Arial"/>
          <w:b w:val="0"/>
          <w:sz w:val="24"/>
          <w:szCs w:val="24"/>
        </w:rPr>
        <w:t xml:space="preserve">valuation </w:t>
      </w:r>
      <w:r w:rsidR="0012477C" w:rsidRPr="00B1350E">
        <w:rPr>
          <w:rFonts w:ascii="Arial" w:hAnsi="Arial" w:cs="Arial"/>
          <w:b w:val="0"/>
          <w:sz w:val="24"/>
          <w:szCs w:val="24"/>
        </w:rPr>
        <w:t xml:space="preserve">practice </w:t>
      </w:r>
      <w:r w:rsidR="006651B7" w:rsidRPr="00B1350E">
        <w:rPr>
          <w:rFonts w:ascii="Arial" w:hAnsi="Arial" w:cs="Arial"/>
          <w:b w:val="0"/>
          <w:sz w:val="24"/>
          <w:szCs w:val="24"/>
        </w:rPr>
        <w:t>matured as</w:t>
      </w:r>
      <w:r w:rsidR="0075561D" w:rsidRPr="00B1350E">
        <w:rPr>
          <w:rFonts w:ascii="Arial" w:hAnsi="Arial" w:cs="Arial"/>
          <w:b w:val="0"/>
          <w:sz w:val="24"/>
          <w:szCs w:val="24"/>
        </w:rPr>
        <w:t xml:space="preserve"> part of a larger </w:t>
      </w:r>
      <w:r w:rsidR="00D402B1" w:rsidRPr="00B1350E">
        <w:rPr>
          <w:rFonts w:ascii="Arial" w:hAnsi="Arial" w:cs="Arial"/>
          <w:b w:val="0"/>
          <w:sz w:val="24"/>
          <w:szCs w:val="24"/>
        </w:rPr>
        <w:t xml:space="preserve">public administrative shift </w:t>
      </w:r>
      <w:r w:rsidR="0075561D" w:rsidRPr="00B1350E">
        <w:rPr>
          <w:rFonts w:ascii="Arial" w:hAnsi="Arial" w:cs="Arial"/>
          <w:b w:val="0"/>
          <w:sz w:val="24"/>
          <w:szCs w:val="24"/>
        </w:rPr>
        <w:t>towards “results-based management</w:t>
      </w:r>
      <w:r w:rsidR="00D826EE" w:rsidRPr="00B1350E">
        <w:rPr>
          <w:rFonts w:ascii="Arial" w:hAnsi="Arial" w:cs="Arial"/>
          <w:b w:val="0"/>
          <w:sz w:val="24"/>
          <w:szCs w:val="24"/>
        </w:rPr>
        <w:t>,</w:t>
      </w:r>
      <w:r w:rsidR="0075561D" w:rsidRPr="00B1350E">
        <w:rPr>
          <w:rFonts w:ascii="Arial" w:hAnsi="Arial" w:cs="Arial"/>
          <w:b w:val="0"/>
          <w:sz w:val="24"/>
          <w:szCs w:val="24"/>
        </w:rPr>
        <w:t>”</w:t>
      </w:r>
      <w:r w:rsidR="0021479A" w:rsidRPr="00B1350E">
        <w:rPr>
          <w:rFonts w:ascii="Arial" w:hAnsi="Arial" w:cs="Arial"/>
          <w:b w:val="0"/>
          <w:sz w:val="24"/>
          <w:szCs w:val="24"/>
        </w:rPr>
        <w:t xml:space="preserve"> </w:t>
      </w:r>
      <w:r w:rsidR="0075561D" w:rsidRPr="00B1350E">
        <w:rPr>
          <w:rFonts w:ascii="Arial" w:hAnsi="Arial" w:cs="Arial"/>
          <w:b w:val="0"/>
          <w:sz w:val="24"/>
          <w:szCs w:val="24"/>
        </w:rPr>
        <w:t xml:space="preserve">known more commonly in library services </w:t>
      </w:r>
      <w:r w:rsidR="00585D15" w:rsidRPr="00B1350E">
        <w:rPr>
          <w:rFonts w:ascii="Arial" w:hAnsi="Arial" w:cs="Arial"/>
          <w:b w:val="0"/>
          <w:sz w:val="24"/>
          <w:szCs w:val="24"/>
        </w:rPr>
        <w:t xml:space="preserve">as </w:t>
      </w:r>
      <w:r w:rsidR="0075561D" w:rsidRPr="00B1350E">
        <w:rPr>
          <w:rFonts w:ascii="Arial" w:hAnsi="Arial" w:cs="Arial"/>
          <w:b w:val="0"/>
          <w:sz w:val="24"/>
          <w:szCs w:val="24"/>
        </w:rPr>
        <w:t xml:space="preserve">“outcome-based evaluation” (OBE) </w:t>
      </w:r>
      <w:r w:rsidR="0012477C" w:rsidRPr="00B1350E">
        <w:rPr>
          <w:rFonts w:ascii="Arial" w:hAnsi="Arial" w:cs="Arial"/>
          <w:b w:val="0"/>
          <w:sz w:val="24"/>
          <w:szCs w:val="24"/>
        </w:rPr>
        <w:t xml:space="preserve">(see, </w:t>
      </w:r>
      <w:r w:rsidR="00624730" w:rsidRPr="00B1350E">
        <w:rPr>
          <w:rFonts w:ascii="Arial" w:hAnsi="Arial" w:cs="Arial"/>
          <w:b w:val="0"/>
          <w:sz w:val="24"/>
          <w:szCs w:val="24"/>
        </w:rPr>
        <w:t>e.g.</w:t>
      </w:r>
      <w:r w:rsidR="0012477C" w:rsidRPr="00B1350E">
        <w:rPr>
          <w:rFonts w:ascii="Arial" w:hAnsi="Arial" w:cs="Arial"/>
          <w:b w:val="0"/>
          <w:sz w:val="24"/>
          <w:szCs w:val="24"/>
        </w:rPr>
        <w:t>, Rossi, Freeman</w:t>
      </w:r>
      <w:r w:rsidR="00624730" w:rsidRPr="00B1350E">
        <w:rPr>
          <w:rFonts w:ascii="Arial" w:hAnsi="Arial" w:cs="Arial"/>
          <w:b w:val="0"/>
          <w:sz w:val="24"/>
          <w:szCs w:val="24"/>
        </w:rPr>
        <w:t>,</w:t>
      </w:r>
      <w:r w:rsidR="0012477C" w:rsidRPr="00B1350E">
        <w:rPr>
          <w:rFonts w:ascii="Arial" w:hAnsi="Arial" w:cs="Arial"/>
          <w:b w:val="0"/>
          <w:sz w:val="24"/>
          <w:szCs w:val="24"/>
        </w:rPr>
        <w:t xml:space="preserve"> and Lipsey, 2004)</w:t>
      </w:r>
      <w:r w:rsidR="00D826EE" w:rsidRPr="00B1350E">
        <w:rPr>
          <w:rFonts w:ascii="Arial" w:hAnsi="Arial" w:cs="Arial"/>
          <w:b w:val="0"/>
          <w:sz w:val="24"/>
          <w:szCs w:val="24"/>
        </w:rPr>
        <w:t xml:space="preserve">. </w:t>
      </w:r>
      <w:r w:rsidR="00585D15" w:rsidRPr="00B1350E">
        <w:rPr>
          <w:rFonts w:ascii="Arial" w:hAnsi="Arial" w:cs="Arial"/>
          <w:b w:val="0"/>
          <w:sz w:val="24"/>
          <w:szCs w:val="24"/>
        </w:rPr>
        <w:t xml:space="preserve">OBE </w:t>
      </w:r>
      <w:r w:rsidR="00D826EE" w:rsidRPr="00B1350E">
        <w:rPr>
          <w:rFonts w:ascii="Arial" w:hAnsi="Arial" w:cs="Arial"/>
          <w:b w:val="0"/>
          <w:sz w:val="24"/>
          <w:szCs w:val="24"/>
        </w:rPr>
        <w:t xml:space="preserve">followed </w:t>
      </w:r>
      <w:r w:rsidR="009D291F" w:rsidRPr="00B1350E">
        <w:rPr>
          <w:rFonts w:ascii="Arial" w:hAnsi="Arial" w:cs="Arial"/>
          <w:b w:val="0"/>
          <w:sz w:val="24"/>
          <w:szCs w:val="24"/>
        </w:rPr>
        <w:t>a</w:t>
      </w:r>
      <w:r w:rsidR="008B1D8F" w:rsidRPr="00B1350E">
        <w:rPr>
          <w:rFonts w:ascii="Arial" w:hAnsi="Arial" w:cs="Arial"/>
          <w:b w:val="0"/>
          <w:sz w:val="24"/>
          <w:szCs w:val="24"/>
        </w:rPr>
        <w:t xml:space="preserve"> similar trajectory in other public and non-profit settings </w:t>
      </w:r>
      <w:r w:rsidR="0021479A" w:rsidRPr="00B1350E">
        <w:rPr>
          <w:rFonts w:ascii="Arial" w:hAnsi="Arial" w:cs="Arial"/>
          <w:b w:val="0"/>
          <w:sz w:val="24"/>
          <w:szCs w:val="24"/>
        </w:rPr>
        <w:t xml:space="preserve">around </w:t>
      </w:r>
      <w:r w:rsidR="008B1D8F" w:rsidRPr="00B1350E">
        <w:rPr>
          <w:rFonts w:ascii="Arial" w:hAnsi="Arial" w:cs="Arial"/>
          <w:b w:val="0"/>
          <w:sz w:val="24"/>
          <w:szCs w:val="24"/>
        </w:rPr>
        <w:t>the world</w:t>
      </w:r>
      <w:r w:rsidR="00624730" w:rsidRPr="00B1350E">
        <w:rPr>
          <w:rFonts w:ascii="Arial" w:hAnsi="Arial" w:cs="Arial"/>
          <w:b w:val="0"/>
          <w:sz w:val="24"/>
          <w:szCs w:val="24"/>
        </w:rPr>
        <w:t xml:space="preserve">, </w:t>
      </w:r>
      <w:r w:rsidR="0012477C" w:rsidRPr="00B1350E">
        <w:rPr>
          <w:rFonts w:ascii="Arial" w:hAnsi="Arial" w:cs="Arial"/>
          <w:b w:val="0"/>
          <w:sz w:val="24"/>
          <w:szCs w:val="24"/>
        </w:rPr>
        <w:t>introduc</w:t>
      </w:r>
      <w:r w:rsidR="00D23226" w:rsidRPr="00B1350E">
        <w:rPr>
          <w:rFonts w:ascii="Arial" w:hAnsi="Arial" w:cs="Arial"/>
          <w:b w:val="0"/>
          <w:sz w:val="24"/>
          <w:szCs w:val="24"/>
        </w:rPr>
        <w:t>ing</w:t>
      </w:r>
      <w:r w:rsidR="0012477C" w:rsidRPr="00B1350E">
        <w:rPr>
          <w:rFonts w:ascii="Arial" w:hAnsi="Arial" w:cs="Arial"/>
          <w:b w:val="0"/>
          <w:sz w:val="24"/>
          <w:szCs w:val="24"/>
        </w:rPr>
        <w:t xml:space="preserve"> </w:t>
      </w:r>
      <w:r w:rsidR="00C64E06" w:rsidRPr="00B1350E">
        <w:rPr>
          <w:rFonts w:ascii="Arial" w:hAnsi="Arial" w:cs="Arial"/>
          <w:b w:val="0"/>
          <w:sz w:val="24"/>
          <w:szCs w:val="24"/>
        </w:rPr>
        <w:t>new public management approaches that s</w:t>
      </w:r>
      <w:r w:rsidR="00D23226" w:rsidRPr="00B1350E">
        <w:rPr>
          <w:rFonts w:ascii="Arial" w:hAnsi="Arial" w:cs="Arial"/>
          <w:b w:val="0"/>
          <w:sz w:val="24"/>
          <w:szCs w:val="24"/>
        </w:rPr>
        <w:t>ought</w:t>
      </w:r>
      <w:r w:rsidR="00C64E06" w:rsidRPr="00B1350E">
        <w:rPr>
          <w:rFonts w:ascii="Arial" w:hAnsi="Arial" w:cs="Arial"/>
          <w:b w:val="0"/>
          <w:sz w:val="24"/>
          <w:szCs w:val="24"/>
        </w:rPr>
        <w:t xml:space="preserve"> to better </w:t>
      </w:r>
      <w:r w:rsidR="00651AE7" w:rsidRPr="00B1350E">
        <w:rPr>
          <w:rFonts w:ascii="Arial" w:hAnsi="Arial" w:cs="Arial"/>
          <w:b w:val="0"/>
          <w:sz w:val="24"/>
          <w:szCs w:val="24"/>
        </w:rPr>
        <w:t>integrate</w:t>
      </w:r>
      <w:r w:rsidR="00C64E06" w:rsidRPr="00B1350E">
        <w:rPr>
          <w:rFonts w:ascii="Arial" w:hAnsi="Arial" w:cs="Arial"/>
          <w:b w:val="0"/>
          <w:sz w:val="24"/>
          <w:szCs w:val="24"/>
        </w:rPr>
        <w:t xml:space="preserve"> </w:t>
      </w:r>
      <w:r w:rsidR="0012477C" w:rsidRPr="00B1350E">
        <w:rPr>
          <w:rFonts w:ascii="Arial" w:hAnsi="Arial" w:cs="Arial"/>
          <w:b w:val="0"/>
          <w:sz w:val="24"/>
          <w:szCs w:val="24"/>
        </w:rPr>
        <w:t xml:space="preserve">business practice to governmental settings (see, </w:t>
      </w:r>
      <w:r w:rsidR="00D826EE" w:rsidRPr="00B1350E">
        <w:rPr>
          <w:rFonts w:ascii="Arial" w:hAnsi="Arial" w:cs="Arial"/>
          <w:b w:val="0"/>
          <w:sz w:val="24"/>
          <w:szCs w:val="24"/>
        </w:rPr>
        <w:t xml:space="preserve">e.g., </w:t>
      </w:r>
      <w:r w:rsidR="00C64E06" w:rsidRPr="00B1350E">
        <w:rPr>
          <w:rFonts w:ascii="Arial" w:hAnsi="Arial" w:cs="Arial"/>
          <w:b w:val="0"/>
          <w:sz w:val="24"/>
          <w:szCs w:val="24"/>
        </w:rPr>
        <w:t>Boston</w:t>
      </w:r>
      <w:r w:rsidR="00624730" w:rsidRPr="00B1350E">
        <w:rPr>
          <w:rFonts w:ascii="Arial" w:hAnsi="Arial" w:cs="Arial"/>
          <w:b w:val="0"/>
          <w:sz w:val="24"/>
          <w:szCs w:val="24"/>
        </w:rPr>
        <w:t xml:space="preserve"> et al.</w:t>
      </w:r>
      <w:r w:rsidR="00C64E06" w:rsidRPr="00B1350E">
        <w:rPr>
          <w:rFonts w:ascii="Arial" w:hAnsi="Arial" w:cs="Arial"/>
          <w:b w:val="0"/>
          <w:sz w:val="24"/>
          <w:szCs w:val="24"/>
        </w:rPr>
        <w:t>,</w:t>
      </w:r>
      <w:r w:rsidR="00E94D24" w:rsidRPr="00B1350E">
        <w:rPr>
          <w:rFonts w:ascii="Arial" w:hAnsi="Arial" w:cs="Arial"/>
          <w:b w:val="0"/>
          <w:sz w:val="24"/>
          <w:szCs w:val="24"/>
        </w:rPr>
        <w:t xml:space="preserve"> </w:t>
      </w:r>
      <w:r w:rsidR="00C64E06" w:rsidRPr="00B1350E">
        <w:rPr>
          <w:rFonts w:ascii="Arial" w:hAnsi="Arial" w:cs="Arial"/>
          <w:b w:val="0"/>
          <w:sz w:val="24"/>
          <w:szCs w:val="24"/>
        </w:rPr>
        <w:t>1996)</w:t>
      </w:r>
      <w:r w:rsidR="0021479A" w:rsidRPr="00B1350E">
        <w:rPr>
          <w:rFonts w:ascii="Arial" w:hAnsi="Arial" w:cs="Arial"/>
          <w:b w:val="0"/>
          <w:sz w:val="24"/>
          <w:szCs w:val="24"/>
        </w:rPr>
        <w:t xml:space="preserve">. </w:t>
      </w:r>
    </w:p>
    <w:p w:rsidR="00585D15" w:rsidRPr="00B1350E" w:rsidRDefault="00585D15" w:rsidP="00B503ED">
      <w:pPr>
        <w:pStyle w:val="Heading3"/>
        <w:shd w:val="clear" w:color="auto" w:fill="FFFFFF"/>
        <w:spacing w:before="0" w:beforeAutospacing="0" w:after="0" w:afterAutospacing="0" w:line="360" w:lineRule="auto"/>
        <w:rPr>
          <w:rFonts w:ascii="Arial" w:hAnsi="Arial" w:cs="Arial"/>
          <w:b w:val="0"/>
          <w:sz w:val="24"/>
          <w:szCs w:val="24"/>
        </w:rPr>
      </w:pPr>
    </w:p>
    <w:p w:rsidR="00585D15" w:rsidRPr="00B1350E" w:rsidRDefault="00585D15" w:rsidP="00B503ED">
      <w:pPr>
        <w:pStyle w:val="Heading3"/>
        <w:shd w:val="clear" w:color="auto" w:fill="FFFFFF"/>
        <w:spacing w:before="0" w:beforeAutospacing="0" w:after="0" w:afterAutospacing="0" w:line="360" w:lineRule="auto"/>
        <w:rPr>
          <w:rFonts w:ascii="Arial" w:hAnsi="Arial" w:cs="Arial"/>
          <w:b w:val="0"/>
          <w:sz w:val="24"/>
          <w:szCs w:val="24"/>
        </w:rPr>
      </w:pPr>
      <w:r w:rsidRPr="00B1350E">
        <w:rPr>
          <w:rFonts w:ascii="Arial" w:hAnsi="Arial" w:cs="Arial"/>
          <w:b w:val="0"/>
          <w:sz w:val="24"/>
          <w:szCs w:val="24"/>
        </w:rPr>
        <w:t xml:space="preserve">A major emphasis of OBE was to turn attention away from strict monitoring </w:t>
      </w:r>
      <w:r w:rsidR="00E1127F" w:rsidRPr="00B1350E">
        <w:rPr>
          <w:rFonts w:ascii="Arial" w:hAnsi="Arial" w:cs="Arial"/>
          <w:b w:val="0"/>
          <w:sz w:val="24"/>
          <w:szCs w:val="24"/>
        </w:rPr>
        <w:t xml:space="preserve">of </w:t>
      </w:r>
      <w:r w:rsidRPr="00B1350E">
        <w:rPr>
          <w:rFonts w:ascii="Arial" w:hAnsi="Arial" w:cs="Arial"/>
          <w:b w:val="0"/>
          <w:sz w:val="24"/>
          <w:szCs w:val="24"/>
        </w:rPr>
        <w:t>whether funds were spent appropriately and protocols followed properly.  This “input” approach to management was replaced by a</w:t>
      </w:r>
      <w:r w:rsidR="00E1127F" w:rsidRPr="00B1350E">
        <w:rPr>
          <w:rFonts w:ascii="Arial" w:hAnsi="Arial" w:cs="Arial"/>
          <w:b w:val="0"/>
          <w:sz w:val="24"/>
          <w:szCs w:val="24"/>
        </w:rPr>
        <w:t xml:space="preserve"> private sector concern with bottom line </w:t>
      </w:r>
      <w:r w:rsidR="00D23226" w:rsidRPr="00B1350E">
        <w:rPr>
          <w:rFonts w:ascii="Arial" w:hAnsi="Arial" w:cs="Arial"/>
          <w:b w:val="0"/>
          <w:sz w:val="24"/>
          <w:szCs w:val="24"/>
        </w:rPr>
        <w:t>results</w:t>
      </w:r>
      <w:r w:rsidRPr="00B1350E">
        <w:rPr>
          <w:rFonts w:ascii="Arial" w:hAnsi="Arial" w:cs="Arial"/>
          <w:b w:val="0"/>
          <w:sz w:val="24"/>
          <w:szCs w:val="24"/>
        </w:rPr>
        <w:t xml:space="preserve">. </w:t>
      </w:r>
      <w:r w:rsidR="00624730" w:rsidRPr="00B1350E">
        <w:rPr>
          <w:rFonts w:ascii="Arial" w:hAnsi="Arial" w:cs="Arial"/>
          <w:b w:val="0"/>
          <w:sz w:val="24"/>
          <w:szCs w:val="24"/>
        </w:rPr>
        <w:t xml:space="preserve"> T</w:t>
      </w:r>
      <w:r w:rsidRPr="00B1350E">
        <w:rPr>
          <w:rFonts w:ascii="Arial" w:hAnsi="Arial" w:cs="Arial"/>
          <w:b w:val="0"/>
          <w:sz w:val="24"/>
          <w:szCs w:val="24"/>
        </w:rPr>
        <w:t xml:space="preserve">he private sector challenge in prioritizing results ultimately boils down to maximizing profits, </w:t>
      </w:r>
      <w:r w:rsidR="00624730" w:rsidRPr="00B1350E">
        <w:rPr>
          <w:rFonts w:ascii="Arial" w:hAnsi="Arial" w:cs="Arial"/>
          <w:b w:val="0"/>
          <w:sz w:val="24"/>
          <w:szCs w:val="24"/>
        </w:rPr>
        <w:lastRenderedPageBreak/>
        <w:t xml:space="preserve">but </w:t>
      </w:r>
      <w:r w:rsidRPr="00B1350E">
        <w:rPr>
          <w:rFonts w:ascii="Arial" w:hAnsi="Arial" w:cs="Arial"/>
          <w:b w:val="0"/>
          <w:sz w:val="24"/>
          <w:szCs w:val="24"/>
        </w:rPr>
        <w:t>the core philosophy driving the public and non-profit sectors</w:t>
      </w:r>
      <w:r w:rsidR="00E1127F" w:rsidRPr="00B1350E">
        <w:rPr>
          <w:rFonts w:ascii="Arial" w:hAnsi="Arial" w:cs="Arial"/>
          <w:b w:val="0"/>
          <w:sz w:val="24"/>
          <w:szCs w:val="24"/>
        </w:rPr>
        <w:t xml:space="preserve">’ bottom line </w:t>
      </w:r>
      <w:r w:rsidR="00D23226" w:rsidRPr="00B1350E">
        <w:rPr>
          <w:rFonts w:ascii="Arial" w:hAnsi="Arial" w:cs="Arial"/>
          <w:b w:val="0"/>
          <w:sz w:val="24"/>
          <w:szCs w:val="24"/>
        </w:rPr>
        <w:t xml:space="preserve">focuses on </w:t>
      </w:r>
      <w:r w:rsidR="00E1127F" w:rsidRPr="00B1350E">
        <w:rPr>
          <w:rFonts w:ascii="Arial" w:hAnsi="Arial" w:cs="Arial"/>
          <w:b w:val="0"/>
          <w:sz w:val="24"/>
          <w:szCs w:val="24"/>
        </w:rPr>
        <w:t>beneficial changes to the public</w:t>
      </w:r>
      <w:r w:rsidR="00DA2079">
        <w:rPr>
          <w:rFonts w:ascii="Arial" w:hAnsi="Arial" w:cs="Arial"/>
          <w:b w:val="0"/>
          <w:sz w:val="24"/>
          <w:szCs w:val="24"/>
        </w:rPr>
        <w:t>, and particularly to segment</w:t>
      </w:r>
      <w:r w:rsidR="00967C94">
        <w:rPr>
          <w:rFonts w:ascii="Arial" w:hAnsi="Arial" w:cs="Arial"/>
          <w:b w:val="0"/>
          <w:sz w:val="24"/>
          <w:szCs w:val="24"/>
        </w:rPr>
        <w:t>s of the public</w:t>
      </w:r>
      <w:r w:rsidR="00DA2079">
        <w:rPr>
          <w:rFonts w:ascii="Arial" w:hAnsi="Arial" w:cs="Arial"/>
          <w:b w:val="0"/>
          <w:sz w:val="24"/>
          <w:szCs w:val="24"/>
        </w:rPr>
        <w:t xml:space="preserve"> </w:t>
      </w:r>
      <w:r w:rsidR="00967C94">
        <w:rPr>
          <w:rFonts w:ascii="Arial" w:hAnsi="Arial" w:cs="Arial"/>
          <w:b w:val="0"/>
          <w:sz w:val="24"/>
          <w:szCs w:val="24"/>
        </w:rPr>
        <w:t xml:space="preserve">that are </w:t>
      </w:r>
      <w:r w:rsidR="00DA2079">
        <w:rPr>
          <w:rFonts w:ascii="Arial" w:hAnsi="Arial" w:cs="Arial"/>
          <w:b w:val="0"/>
          <w:sz w:val="24"/>
          <w:szCs w:val="24"/>
        </w:rPr>
        <w:t>targe</w:t>
      </w:r>
      <w:r w:rsidR="00747D81">
        <w:rPr>
          <w:rFonts w:ascii="Arial" w:hAnsi="Arial" w:cs="Arial"/>
          <w:b w:val="0"/>
          <w:sz w:val="24"/>
          <w:szCs w:val="24"/>
        </w:rPr>
        <w:t>t</w:t>
      </w:r>
      <w:r w:rsidR="00DA2079">
        <w:rPr>
          <w:rFonts w:ascii="Arial" w:hAnsi="Arial" w:cs="Arial"/>
          <w:b w:val="0"/>
          <w:sz w:val="24"/>
          <w:szCs w:val="24"/>
        </w:rPr>
        <w:t>ed because they share a specific need</w:t>
      </w:r>
      <w:r w:rsidR="00E1127F" w:rsidRPr="00B1350E">
        <w:rPr>
          <w:rFonts w:ascii="Arial" w:hAnsi="Arial" w:cs="Arial"/>
          <w:b w:val="0"/>
          <w:sz w:val="24"/>
          <w:szCs w:val="24"/>
        </w:rPr>
        <w:t>.</w:t>
      </w:r>
    </w:p>
    <w:p w:rsidR="00D826EE" w:rsidRPr="00B1350E" w:rsidRDefault="00D826EE" w:rsidP="00B503ED">
      <w:pPr>
        <w:pStyle w:val="Heading3"/>
        <w:shd w:val="clear" w:color="auto" w:fill="FFFFFF"/>
        <w:spacing w:before="0" w:beforeAutospacing="0" w:after="0" w:afterAutospacing="0" w:line="360" w:lineRule="auto"/>
        <w:rPr>
          <w:rFonts w:ascii="Arial" w:hAnsi="Arial" w:cs="Arial"/>
          <w:b w:val="0"/>
          <w:sz w:val="24"/>
          <w:szCs w:val="24"/>
        </w:rPr>
      </w:pPr>
    </w:p>
    <w:p w:rsidR="00B503ED" w:rsidRPr="00B1350E" w:rsidRDefault="00C64E06" w:rsidP="00B503ED">
      <w:pPr>
        <w:pStyle w:val="Heading3"/>
        <w:shd w:val="clear" w:color="auto" w:fill="FFFFFF"/>
        <w:spacing w:before="0" w:beforeAutospacing="0" w:after="0" w:afterAutospacing="0" w:line="360" w:lineRule="auto"/>
        <w:rPr>
          <w:rFonts w:ascii="Arial" w:hAnsi="Arial" w:cs="Arial"/>
          <w:b w:val="0"/>
          <w:bCs w:val="0"/>
          <w:color w:val="222222"/>
          <w:sz w:val="24"/>
          <w:szCs w:val="24"/>
        </w:rPr>
      </w:pPr>
      <w:r w:rsidRPr="00B1350E">
        <w:rPr>
          <w:rFonts w:ascii="Arial" w:hAnsi="Arial" w:cs="Arial"/>
          <w:b w:val="0"/>
          <w:sz w:val="24"/>
          <w:szCs w:val="24"/>
        </w:rPr>
        <w:t xml:space="preserve">As the </w:t>
      </w:r>
      <w:r w:rsidR="00585D15" w:rsidRPr="00B1350E">
        <w:rPr>
          <w:rFonts w:ascii="Arial" w:hAnsi="Arial" w:cs="Arial"/>
          <w:b w:val="0"/>
          <w:sz w:val="24"/>
          <w:szCs w:val="24"/>
        </w:rPr>
        <w:t xml:space="preserve">new approach to public administration </w:t>
      </w:r>
      <w:r w:rsidRPr="00B1350E">
        <w:rPr>
          <w:rFonts w:ascii="Arial" w:hAnsi="Arial" w:cs="Arial"/>
          <w:b w:val="0"/>
          <w:sz w:val="24"/>
          <w:szCs w:val="24"/>
        </w:rPr>
        <w:t>matured, OBE</w:t>
      </w:r>
      <w:r w:rsidR="00A96DF5" w:rsidRPr="00B1350E">
        <w:rPr>
          <w:rFonts w:ascii="Arial" w:hAnsi="Arial" w:cs="Arial"/>
          <w:b w:val="0"/>
          <w:sz w:val="24"/>
          <w:szCs w:val="24"/>
        </w:rPr>
        <w:t xml:space="preserve">, tightly </w:t>
      </w:r>
      <w:r w:rsidR="004B764F" w:rsidRPr="00B1350E">
        <w:rPr>
          <w:rFonts w:ascii="Arial" w:hAnsi="Arial" w:cs="Arial"/>
          <w:b w:val="0"/>
          <w:sz w:val="24"/>
          <w:szCs w:val="24"/>
        </w:rPr>
        <w:t>interwoven</w:t>
      </w:r>
      <w:r w:rsidR="00A96DF5" w:rsidRPr="00B1350E">
        <w:rPr>
          <w:rFonts w:ascii="Arial" w:hAnsi="Arial" w:cs="Arial"/>
          <w:b w:val="0"/>
          <w:sz w:val="24"/>
          <w:szCs w:val="24"/>
        </w:rPr>
        <w:t xml:space="preserve"> with </w:t>
      </w:r>
      <w:r w:rsidRPr="00B1350E">
        <w:rPr>
          <w:rFonts w:ascii="Arial" w:hAnsi="Arial" w:cs="Arial"/>
          <w:b w:val="0"/>
          <w:sz w:val="24"/>
          <w:szCs w:val="24"/>
        </w:rPr>
        <w:t>logic models</w:t>
      </w:r>
      <w:r w:rsidR="00A96DF5" w:rsidRPr="00B1350E">
        <w:rPr>
          <w:rFonts w:ascii="Arial" w:hAnsi="Arial" w:cs="Arial"/>
          <w:b w:val="0"/>
          <w:sz w:val="24"/>
          <w:szCs w:val="24"/>
        </w:rPr>
        <w:t>, became a dominant feature of the</w:t>
      </w:r>
      <w:r w:rsidR="00624730" w:rsidRPr="00B1350E">
        <w:rPr>
          <w:rFonts w:ascii="Arial" w:hAnsi="Arial" w:cs="Arial"/>
          <w:b w:val="0"/>
          <w:sz w:val="24"/>
          <w:szCs w:val="24"/>
        </w:rPr>
        <w:t xml:space="preserve"> evaluation</w:t>
      </w:r>
      <w:r w:rsidR="00A96DF5" w:rsidRPr="00B1350E">
        <w:rPr>
          <w:rFonts w:ascii="Arial" w:hAnsi="Arial" w:cs="Arial"/>
          <w:b w:val="0"/>
          <w:sz w:val="24"/>
          <w:szCs w:val="24"/>
        </w:rPr>
        <w:t xml:space="preserve"> landscape in the US government and elsewhere</w:t>
      </w:r>
      <w:r w:rsidRPr="00B1350E">
        <w:rPr>
          <w:rFonts w:ascii="Arial" w:hAnsi="Arial" w:cs="Arial"/>
          <w:b w:val="0"/>
          <w:sz w:val="24"/>
          <w:szCs w:val="24"/>
        </w:rPr>
        <w:t xml:space="preserve">.  </w:t>
      </w:r>
      <w:r w:rsidR="00D826EE" w:rsidRPr="00B1350E">
        <w:rPr>
          <w:rFonts w:ascii="Arial" w:hAnsi="Arial" w:cs="Arial"/>
          <w:b w:val="0"/>
          <w:sz w:val="24"/>
          <w:szCs w:val="24"/>
        </w:rPr>
        <w:t>Multiple</w:t>
      </w:r>
      <w:r w:rsidRPr="00B1350E">
        <w:rPr>
          <w:rFonts w:ascii="Arial" w:hAnsi="Arial" w:cs="Arial"/>
          <w:b w:val="0"/>
          <w:sz w:val="24"/>
          <w:szCs w:val="24"/>
        </w:rPr>
        <w:t xml:space="preserve"> federal agencies</w:t>
      </w:r>
      <w:r w:rsidR="00624730" w:rsidRPr="00B1350E">
        <w:rPr>
          <w:rFonts w:ascii="Arial" w:hAnsi="Arial" w:cs="Arial"/>
          <w:b w:val="0"/>
          <w:sz w:val="24"/>
          <w:szCs w:val="24"/>
        </w:rPr>
        <w:t>,</w:t>
      </w:r>
      <w:r w:rsidRPr="00B1350E">
        <w:rPr>
          <w:rFonts w:ascii="Arial" w:hAnsi="Arial" w:cs="Arial"/>
          <w:b w:val="0"/>
          <w:sz w:val="24"/>
          <w:szCs w:val="24"/>
        </w:rPr>
        <w:t xml:space="preserve"> and philanthropic organizations such as the Centers for Disease Control and the United Way, have been in the forefront </w:t>
      </w:r>
      <w:r w:rsidR="00624730" w:rsidRPr="00B1350E">
        <w:rPr>
          <w:rFonts w:ascii="Arial" w:hAnsi="Arial" w:cs="Arial"/>
          <w:b w:val="0"/>
          <w:sz w:val="24"/>
          <w:szCs w:val="24"/>
        </w:rPr>
        <w:t xml:space="preserve">of this approach </w:t>
      </w:r>
      <w:r w:rsidRPr="00B1350E">
        <w:rPr>
          <w:rFonts w:ascii="Arial" w:hAnsi="Arial" w:cs="Arial"/>
          <w:b w:val="0"/>
          <w:sz w:val="24"/>
          <w:szCs w:val="24"/>
        </w:rPr>
        <w:t xml:space="preserve">for several decades.  </w:t>
      </w:r>
      <w:r w:rsidR="00624730" w:rsidRPr="00B1350E">
        <w:rPr>
          <w:rFonts w:ascii="Arial" w:hAnsi="Arial" w:cs="Arial"/>
          <w:b w:val="0"/>
          <w:sz w:val="24"/>
          <w:szCs w:val="24"/>
        </w:rPr>
        <w:t>It</w:t>
      </w:r>
      <w:r w:rsidRPr="00B1350E">
        <w:rPr>
          <w:rFonts w:ascii="Arial" w:hAnsi="Arial" w:cs="Arial"/>
          <w:b w:val="0"/>
          <w:sz w:val="24"/>
          <w:szCs w:val="24"/>
        </w:rPr>
        <w:t xml:space="preserve"> has remained the dominant </w:t>
      </w:r>
      <w:r w:rsidR="00624730" w:rsidRPr="00B1350E">
        <w:rPr>
          <w:rFonts w:ascii="Arial" w:hAnsi="Arial" w:cs="Arial"/>
          <w:b w:val="0"/>
          <w:sz w:val="24"/>
          <w:szCs w:val="24"/>
        </w:rPr>
        <w:t xml:space="preserve">federal </w:t>
      </w:r>
      <w:r w:rsidRPr="00B1350E">
        <w:rPr>
          <w:rFonts w:ascii="Arial" w:hAnsi="Arial" w:cs="Arial"/>
          <w:b w:val="0"/>
          <w:sz w:val="24"/>
          <w:szCs w:val="24"/>
        </w:rPr>
        <w:t xml:space="preserve">approach </w:t>
      </w:r>
      <w:r w:rsidR="00D826EE" w:rsidRPr="00B1350E">
        <w:rPr>
          <w:rFonts w:ascii="Arial" w:hAnsi="Arial" w:cs="Arial"/>
          <w:b w:val="0"/>
          <w:sz w:val="24"/>
          <w:szCs w:val="24"/>
        </w:rPr>
        <w:t xml:space="preserve">since the 1990s </w:t>
      </w:r>
      <w:r w:rsidR="00E2011E" w:rsidRPr="00B1350E">
        <w:rPr>
          <w:rFonts w:ascii="Arial" w:hAnsi="Arial" w:cs="Arial"/>
          <w:b w:val="0"/>
          <w:sz w:val="24"/>
          <w:szCs w:val="24"/>
        </w:rPr>
        <w:t>in</w:t>
      </w:r>
      <w:r w:rsidR="00543858" w:rsidRPr="00B1350E">
        <w:rPr>
          <w:rFonts w:ascii="Arial" w:hAnsi="Arial" w:cs="Arial"/>
          <w:b w:val="0"/>
          <w:sz w:val="24"/>
          <w:szCs w:val="24"/>
        </w:rPr>
        <w:t xml:space="preserve"> response to directives by the federal Office of Management and Budget </w:t>
      </w:r>
      <w:r w:rsidR="00D826EE" w:rsidRPr="00B1350E">
        <w:rPr>
          <w:rFonts w:ascii="Arial" w:hAnsi="Arial" w:cs="Arial"/>
          <w:b w:val="0"/>
          <w:sz w:val="24"/>
          <w:szCs w:val="24"/>
        </w:rPr>
        <w:t xml:space="preserve">(OMB) </w:t>
      </w:r>
      <w:r w:rsidR="00543858" w:rsidRPr="00B1350E">
        <w:rPr>
          <w:rFonts w:ascii="Arial" w:hAnsi="Arial" w:cs="Arial"/>
          <w:b w:val="0"/>
          <w:sz w:val="24"/>
          <w:szCs w:val="24"/>
        </w:rPr>
        <w:t>and the White House</w:t>
      </w:r>
      <w:r w:rsidR="00D826EE" w:rsidRPr="00B1350E">
        <w:rPr>
          <w:rFonts w:ascii="Arial" w:hAnsi="Arial" w:cs="Arial"/>
          <w:b w:val="0"/>
          <w:sz w:val="24"/>
          <w:szCs w:val="24"/>
        </w:rPr>
        <w:t>,</w:t>
      </w:r>
      <w:r w:rsidR="00543858" w:rsidRPr="00B1350E">
        <w:rPr>
          <w:rFonts w:ascii="Arial" w:hAnsi="Arial" w:cs="Arial"/>
          <w:b w:val="0"/>
          <w:sz w:val="24"/>
          <w:szCs w:val="24"/>
        </w:rPr>
        <w:t xml:space="preserve"> </w:t>
      </w:r>
      <w:r w:rsidR="009D291F" w:rsidRPr="00B1350E">
        <w:rPr>
          <w:rFonts w:ascii="Arial" w:hAnsi="Arial" w:cs="Arial"/>
          <w:b w:val="0"/>
          <w:sz w:val="24"/>
          <w:szCs w:val="24"/>
        </w:rPr>
        <w:t>associated with</w:t>
      </w:r>
      <w:r w:rsidR="00A14832" w:rsidRPr="00B1350E">
        <w:rPr>
          <w:rFonts w:ascii="Arial" w:hAnsi="Arial" w:cs="Arial"/>
          <w:b w:val="0"/>
          <w:sz w:val="24"/>
          <w:szCs w:val="24"/>
        </w:rPr>
        <w:t xml:space="preserve"> </w:t>
      </w:r>
      <w:r w:rsidR="00B503ED" w:rsidRPr="00B1350E">
        <w:rPr>
          <w:rFonts w:ascii="Arial" w:hAnsi="Arial" w:cs="Arial"/>
          <w:b w:val="0"/>
          <w:sz w:val="24"/>
          <w:szCs w:val="24"/>
        </w:rPr>
        <w:t>the</w:t>
      </w:r>
      <w:r w:rsidR="00747D81">
        <w:rPr>
          <w:rFonts w:ascii="Arial" w:hAnsi="Arial" w:cs="Arial"/>
          <w:b w:val="0"/>
          <w:sz w:val="24"/>
          <w:szCs w:val="24"/>
        </w:rPr>
        <w:t xml:space="preserve"> Government Performance and Results Act of 1993 (GPRA).  Consequently</w:t>
      </w:r>
      <w:r w:rsidR="00D826EE" w:rsidRPr="00B1350E">
        <w:rPr>
          <w:rFonts w:ascii="Arial" w:hAnsi="Arial" w:cs="Arial"/>
          <w:b w:val="0"/>
          <w:bCs w:val="0"/>
          <w:sz w:val="24"/>
          <w:szCs w:val="24"/>
        </w:rPr>
        <w:t xml:space="preserve"> IMLS</w:t>
      </w:r>
      <w:r w:rsidR="009D291F" w:rsidRPr="00B1350E">
        <w:rPr>
          <w:rFonts w:ascii="Arial" w:hAnsi="Arial" w:cs="Arial"/>
          <w:b w:val="0"/>
          <w:bCs w:val="0"/>
          <w:color w:val="222222"/>
          <w:sz w:val="24"/>
          <w:szCs w:val="24"/>
        </w:rPr>
        <w:t xml:space="preserve"> began to introduce OBE and logic models </w:t>
      </w:r>
      <w:r w:rsidR="000B376A">
        <w:rPr>
          <w:rFonts w:ascii="Arial" w:hAnsi="Arial" w:cs="Arial"/>
          <w:b w:val="0"/>
          <w:bCs w:val="0"/>
          <w:color w:val="222222"/>
          <w:sz w:val="24"/>
          <w:szCs w:val="24"/>
        </w:rPr>
        <w:t>to their grantee communities as key tools for planning and evaluation</w:t>
      </w:r>
      <w:r w:rsidR="009D291F" w:rsidRPr="00B1350E">
        <w:rPr>
          <w:rFonts w:ascii="Arial" w:hAnsi="Arial" w:cs="Arial"/>
          <w:b w:val="0"/>
          <w:bCs w:val="0"/>
          <w:color w:val="222222"/>
          <w:sz w:val="24"/>
          <w:szCs w:val="24"/>
        </w:rPr>
        <w:t xml:space="preserve"> </w:t>
      </w:r>
      <w:r w:rsidR="0075561D" w:rsidRPr="00B1350E">
        <w:rPr>
          <w:rFonts w:ascii="Arial" w:hAnsi="Arial" w:cs="Arial"/>
          <w:b w:val="0"/>
          <w:bCs w:val="0"/>
          <w:color w:val="222222"/>
          <w:sz w:val="24"/>
          <w:szCs w:val="24"/>
        </w:rPr>
        <w:t>by the latter part of that decade.</w:t>
      </w:r>
    </w:p>
    <w:p w:rsidR="00E94D24" w:rsidRPr="00B1350E" w:rsidRDefault="00E94004"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 features of the basic </w:t>
      </w:r>
      <w:r w:rsidR="00A96DF5" w:rsidRPr="00B1350E">
        <w:rPr>
          <w:rFonts w:ascii="Arial" w:hAnsi="Arial" w:cs="Arial"/>
          <w:sz w:val="24"/>
          <w:szCs w:val="24"/>
        </w:rPr>
        <w:t>logic model</w:t>
      </w:r>
      <w:r w:rsidRPr="00B1350E">
        <w:rPr>
          <w:rFonts w:ascii="Arial" w:hAnsi="Arial" w:cs="Arial"/>
          <w:sz w:val="24"/>
          <w:szCs w:val="24"/>
        </w:rPr>
        <w:t xml:space="preserve"> are easy to understand.  </w:t>
      </w:r>
      <w:r w:rsidR="008B1D8F" w:rsidRPr="00B1350E">
        <w:rPr>
          <w:rFonts w:ascii="Arial" w:hAnsi="Arial" w:cs="Arial"/>
          <w:sz w:val="24"/>
          <w:szCs w:val="24"/>
        </w:rPr>
        <w:t>A set of</w:t>
      </w:r>
      <w:r w:rsidR="00D826EE" w:rsidRPr="00B1350E">
        <w:rPr>
          <w:rFonts w:ascii="Arial" w:hAnsi="Arial" w:cs="Arial"/>
          <w:sz w:val="24"/>
          <w:szCs w:val="24"/>
        </w:rPr>
        <w:t xml:space="preserve"> program</w:t>
      </w:r>
      <w:r w:rsidR="008B1D8F" w:rsidRPr="00B1350E">
        <w:rPr>
          <w:rFonts w:ascii="Arial" w:hAnsi="Arial" w:cs="Arial"/>
          <w:sz w:val="24"/>
          <w:szCs w:val="24"/>
        </w:rPr>
        <w:t xml:space="preserve"> “inputs” like labor</w:t>
      </w:r>
      <w:r w:rsidR="00D402B1" w:rsidRPr="00B1350E">
        <w:rPr>
          <w:rFonts w:ascii="Arial" w:hAnsi="Arial" w:cs="Arial"/>
          <w:sz w:val="24"/>
          <w:szCs w:val="24"/>
        </w:rPr>
        <w:t>, funding</w:t>
      </w:r>
      <w:r w:rsidRPr="00B1350E">
        <w:rPr>
          <w:rFonts w:ascii="Arial" w:hAnsi="Arial" w:cs="Arial"/>
          <w:sz w:val="24"/>
          <w:szCs w:val="24"/>
        </w:rPr>
        <w:t>,</w:t>
      </w:r>
      <w:r w:rsidR="008B1D8F" w:rsidRPr="00B1350E">
        <w:rPr>
          <w:rFonts w:ascii="Arial" w:hAnsi="Arial" w:cs="Arial"/>
          <w:sz w:val="24"/>
          <w:szCs w:val="24"/>
        </w:rPr>
        <w:t xml:space="preserve"> and capital </w:t>
      </w:r>
      <w:r w:rsidR="00D826EE" w:rsidRPr="00B1350E">
        <w:rPr>
          <w:rFonts w:ascii="Arial" w:hAnsi="Arial" w:cs="Arial"/>
          <w:sz w:val="24"/>
          <w:szCs w:val="24"/>
        </w:rPr>
        <w:t xml:space="preserve">are </w:t>
      </w:r>
      <w:r w:rsidR="008B1D8F" w:rsidRPr="00B1350E">
        <w:rPr>
          <w:rFonts w:ascii="Arial" w:hAnsi="Arial" w:cs="Arial"/>
          <w:sz w:val="24"/>
          <w:szCs w:val="24"/>
        </w:rPr>
        <w:t>allo</w:t>
      </w:r>
      <w:r w:rsidRPr="00B1350E">
        <w:rPr>
          <w:rFonts w:ascii="Arial" w:hAnsi="Arial" w:cs="Arial"/>
          <w:sz w:val="24"/>
          <w:szCs w:val="24"/>
        </w:rPr>
        <w:t>cat</w:t>
      </w:r>
      <w:r w:rsidR="008B1D8F" w:rsidRPr="00B1350E">
        <w:rPr>
          <w:rFonts w:ascii="Arial" w:hAnsi="Arial" w:cs="Arial"/>
          <w:sz w:val="24"/>
          <w:szCs w:val="24"/>
        </w:rPr>
        <w:t xml:space="preserve">ed.  </w:t>
      </w:r>
      <w:r w:rsidR="00D826EE" w:rsidRPr="00B1350E">
        <w:rPr>
          <w:rFonts w:ascii="Arial" w:hAnsi="Arial" w:cs="Arial"/>
          <w:sz w:val="24"/>
          <w:szCs w:val="24"/>
        </w:rPr>
        <w:t>I</w:t>
      </w:r>
      <w:r w:rsidR="008B1D8F" w:rsidRPr="00B1350E">
        <w:rPr>
          <w:rFonts w:ascii="Arial" w:hAnsi="Arial" w:cs="Arial"/>
          <w:sz w:val="24"/>
          <w:szCs w:val="24"/>
        </w:rPr>
        <w:t>nputs shape</w:t>
      </w:r>
      <w:r w:rsidRPr="00B1350E">
        <w:rPr>
          <w:rFonts w:ascii="Arial" w:hAnsi="Arial" w:cs="Arial"/>
          <w:sz w:val="24"/>
          <w:szCs w:val="24"/>
        </w:rPr>
        <w:t xml:space="preserve"> program “activities” (or services)</w:t>
      </w:r>
      <w:r w:rsidR="008B1D8F" w:rsidRPr="00B1350E">
        <w:rPr>
          <w:rFonts w:ascii="Arial" w:hAnsi="Arial" w:cs="Arial"/>
          <w:sz w:val="24"/>
          <w:szCs w:val="24"/>
        </w:rPr>
        <w:t xml:space="preserve">. </w:t>
      </w:r>
      <w:r w:rsidRPr="00B1350E">
        <w:rPr>
          <w:rFonts w:ascii="Arial" w:hAnsi="Arial" w:cs="Arial"/>
          <w:sz w:val="24"/>
          <w:szCs w:val="24"/>
        </w:rPr>
        <w:t xml:space="preserve"> The a</w:t>
      </w:r>
      <w:r w:rsidR="008B1D8F" w:rsidRPr="00B1350E">
        <w:rPr>
          <w:rFonts w:ascii="Arial" w:hAnsi="Arial" w:cs="Arial"/>
          <w:sz w:val="24"/>
          <w:szCs w:val="24"/>
        </w:rPr>
        <w:t xml:space="preserve">ctivities lead </w:t>
      </w:r>
      <w:r w:rsidR="004B764F" w:rsidRPr="00B1350E">
        <w:rPr>
          <w:rFonts w:ascii="Arial" w:hAnsi="Arial" w:cs="Arial"/>
          <w:sz w:val="24"/>
          <w:szCs w:val="24"/>
        </w:rPr>
        <w:t>to products</w:t>
      </w:r>
      <w:r w:rsidR="00A96DF5" w:rsidRPr="00B1350E">
        <w:rPr>
          <w:rFonts w:ascii="Arial" w:hAnsi="Arial" w:cs="Arial"/>
          <w:sz w:val="24"/>
          <w:szCs w:val="24"/>
        </w:rPr>
        <w:t xml:space="preserve"> or “outputs</w:t>
      </w:r>
      <w:r w:rsidRPr="00B1350E">
        <w:rPr>
          <w:rFonts w:ascii="Arial" w:hAnsi="Arial" w:cs="Arial"/>
          <w:sz w:val="24"/>
          <w:szCs w:val="24"/>
        </w:rPr>
        <w:t>,</w:t>
      </w:r>
      <w:r w:rsidR="00A96DF5" w:rsidRPr="00B1350E">
        <w:rPr>
          <w:rFonts w:ascii="Arial" w:hAnsi="Arial" w:cs="Arial"/>
          <w:sz w:val="24"/>
          <w:szCs w:val="24"/>
        </w:rPr>
        <w:t>”</w:t>
      </w:r>
      <w:r w:rsidR="00D826EE" w:rsidRPr="00B1350E">
        <w:rPr>
          <w:rFonts w:ascii="Arial" w:hAnsi="Arial" w:cs="Arial"/>
          <w:sz w:val="24"/>
          <w:szCs w:val="24"/>
        </w:rPr>
        <w:t xml:space="preserve"> which </w:t>
      </w:r>
      <w:r w:rsidR="008B1D8F" w:rsidRPr="00B1350E">
        <w:rPr>
          <w:rFonts w:ascii="Arial" w:hAnsi="Arial" w:cs="Arial"/>
          <w:sz w:val="24"/>
          <w:szCs w:val="24"/>
        </w:rPr>
        <w:t xml:space="preserve">in turn lead to </w:t>
      </w:r>
      <w:r w:rsidRPr="00B1350E">
        <w:rPr>
          <w:rFonts w:ascii="Arial" w:hAnsi="Arial" w:cs="Arial"/>
          <w:sz w:val="24"/>
          <w:szCs w:val="24"/>
        </w:rPr>
        <w:t>“</w:t>
      </w:r>
      <w:r w:rsidR="008B1D8F" w:rsidRPr="00B1350E">
        <w:rPr>
          <w:rFonts w:ascii="Arial" w:hAnsi="Arial" w:cs="Arial"/>
          <w:sz w:val="24"/>
          <w:szCs w:val="24"/>
        </w:rPr>
        <w:t>outcomes</w:t>
      </w:r>
      <w:r w:rsidRPr="00B1350E">
        <w:rPr>
          <w:rFonts w:ascii="Arial" w:hAnsi="Arial" w:cs="Arial"/>
          <w:sz w:val="24"/>
          <w:szCs w:val="24"/>
        </w:rPr>
        <w:t>”</w:t>
      </w:r>
      <w:r w:rsidR="00D826EE" w:rsidRPr="00B1350E">
        <w:rPr>
          <w:rFonts w:ascii="Arial" w:hAnsi="Arial" w:cs="Arial"/>
          <w:sz w:val="24"/>
          <w:szCs w:val="24"/>
        </w:rPr>
        <w:t xml:space="preserve"> </w:t>
      </w:r>
      <w:r w:rsidR="00E94D24" w:rsidRPr="00747D81">
        <w:rPr>
          <w:rFonts w:ascii="Arial" w:hAnsi="Arial" w:cs="Arial"/>
          <w:sz w:val="24"/>
          <w:szCs w:val="24"/>
        </w:rPr>
        <w:t xml:space="preserve">(see </w:t>
      </w:r>
      <w:r w:rsidR="00747D81" w:rsidRPr="00747D81">
        <w:rPr>
          <w:rFonts w:ascii="Arial" w:hAnsi="Arial" w:cs="Arial"/>
          <w:sz w:val="24"/>
          <w:szCs w:val="24"/>
        </w:rPr>
        <w:t>F</w:t>
      </w:r>
      <w:r w:rsidR="00E94D24" w:rsidRPr="00747D81">
        <w:rPr>
          <w:rFonts w:ascii="Arial" w:hAnsi="Arial" w:cs="Arial"/>
          <w:sz w:val="24"/>
          <w:szCs w:val="24"/>
        </w:rPr>
        <w:t>igure 1.1)</w:t>
      </w:r>
      <w:r w:rsidR="00E94D24" w:rsidRPr="00B1350E">
        <w:rPr>
          <w:rFonts w:ascii="Arial" w:hAnsi="Arial" w:cs="Arial"/>
          <w:sz w:val="24"/>
          <w:szCs w:val="24"/>
        </w:rPr>
        <w:t xml:space="preserve">. </w:t>
      </w:r>
      <w:r w:rsidR="00D826EE" w:rsidRPr="00B1350E">
        <w:rPr>
          <w:rFonts w:ascii="Arial" w:hAnsi="Arial" w:cs="Arial"/>
          <w:sz w:val="24"/>
          <w:szCs w:val="24"/>
        </w:rPr>
        <w:t xml:space="preserve"> </w:t>
      </w:r>
    </w:p>
    <w:p w:rsidR="00E94D24" w:rsidRPr="00B1350E" w:rsidRDefault="00E94D24" w:rsidP="008B1D8F">
      <w:pPr>
        <w:pStyle w:val="Body1"/>
        <w:spacing w:before="100" w:beforeAutospacing="1" w:after="100" w:afterAutospacing="1" w:line="360" w:lineRule="auto"/>
        <w:rPr>
          <w:rFonts w:ascii="Arial" w:hAnsi="Arial" w:cs="Arial"/>
          <w:b/>
          <w:i/>
          <w:sz w:val="24"/>
          <w:szCs w:val="24"/>
          <w:u w:val="single"/>
        </w:rPr>
      </w:pPr>
      <w:r w:rsidRPr="00B1350E">
        <w:rPr>
          <w:rFonts w:ascii="Arial" w:hAnsi="Arial" w:cs="Arial"/>
          <w:b/>
          <w:i/>
          <w:sz w:val="24"/>
          <w:szCs w:val="24"/>
          <w:u w:val="single"/>
        </w:rPr>
        <w:t>Insert Figure 1.1</w:t>
      </w:r>
    </w:p>
    <w:p w:rsidR="008B1D8F" w:rsidRPr="00B1350E" w:rsidRDefault="00D826EE"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G</w:t>
      </w:r>
      <w:r w:rsidR="008B1D8F" w:rsidRPr="00B1350E">
        <w:rPr>
          <w:rFonts w:ascii="Arial" w:hAnsi="Arial" w:cs="Arial"/>
          <w:sz w:val="24"/>
          <w:szCs w:val="24"/>
        </w:rPr>
        <w:t>enerally</w:t>
      </w:r>
      <w:r w:rsidR="00175CEB" w:rsidRPr="00B1350E">
        <w:rPr>
          <w:rFonts w:ascii="Arial" w:hAnsi="Arial" w:cs="Arial"/>
          <w:sz w:val="24"/>
          <w:szCs w:val="24"/>
        </w:rPr>
        <w:t xml:space="preserve">, </w:t>
      </w:r>
      <w:r w:rsidRPr="00B1350E">
        <w:rPr>
          <w:rFonts w:ascii="Arial" w:hAnsi="Arial" w:cs="Arial"/>
          <w:sz w:val="24"/>
          <w:szCs w:val="24"/>
        </w:rPr>
        <w:t xml:space="preserve">outcomes </w:t>
      </w:r>
      <w:r w:rsidR="00E94004" w:rsidRPr="00B1350E">
        <w:rPr>
          <w:rFonts w:ascii="Arial" w:hAnsi="Arial" w:cs="Arial"/>
          <w:sz w:val="24"/>
          <w:szCs w:val="24"/>
        </w:rPr>
        <w:t>constitute</w:t>
      </w:r>
      <w:r w:rsidR="008B1D8F" w:rsidRPr="00B1350E">
        <w:rPr>
          <w:rFonts w:ascii="Arial" w:hAnsi="Arial" w:cs="Arial"/>
          <w:sz w:val="24"/>
          <w:szCs w:val="24"/>
        </w:rPr>
        <w:t xml:space="preserve"> immediate changes </w:t>
      </w:r>
      <w:r w:rsidR="00D96F40" w:rsidRPr="00B1350E">
        <w:rPr>
          <w:rFonts w:ascii="Arial" w:hAnsi="Arial" w:cs="Arial"/>
          <w:sz w:val="24"/>
          <w:szCs w:val="24"/>
        </w:rPr>
        <w:t xml:space="preserve">in </w:t>
      </w:r>
      <w:r w:rsidR="008B1D8F" w:rsidRPr="00B1350E">
        <w:rPr>
          <w:rFonts w:ascii="Arial" w:hAnsi="Arial" w:cs="Arial"/>
          <w:sz w:val="24"/>
          <w:szCs w:val="24"/>
        </w:rPr>
        <w:t>program participant</w:t>
      </w:r>
      <w:r w:rsidR="00A14832" w:rsidRPr="00B1350E">
        <w:rPr>
          <w:rFonts w:ascii="Arial" w:hAnsi="Arial" w:cs="Arial"/>
          <w:sz w:val="24"/>
          <w:szCs w:val="24"/>
        </w:rPr>
        <w:t>s</w:t>
      </w:r>
      <w:r w:rsidR="008B1D8F" w:rsidRPr="00B1350E">
        <w:rPr>
          <w:rFonts w:ascii="Arial" w:hAnsi="Arial" w:cs="Arial"/>
          <w:sz w:val="24"/>
          <w:szCs w:val="24"/>
        </w:rPr>
        <w:t xml:space="preserve">.  Over time, </w:t>
      </w:r>
      <w:r w:rsidR="00C64E06" w:rsidRPr="00B1350E">
        <w:rPr>
          <w:rFonts w:ascii="Arial" w:hAnsi="Arial" w:cs="Arial"/>
          <w:sz w:val="24"/>
          <w:szCs w:val="24"/>
        </w:rPr>
        <w:t>longer</w:t>
      </w:r>
      <w:r w:rsidR="00175CEB" w:rsidRPr="00B1350E">
        <w:rPr>
          <w:rFonts w:ascii="Arial" w:hAnsi="Arial" w:cs="Arial"/>
          <w:sz w:val="24"/>
          <w:szCs w:val="24"/>
        </w:rPr>
        <w:t>-</w:t>
      </w:r>
      <w:r w:rsidR="00C64E06" w:rsidRPr="00B1350E">
        <w:rPr>
          <w:rFonts w:ascii="Arial" w:hAnsi="Arial" w:cs="Arial"/>
          <w:sz w:val="24"/>
          <w:szCs w:val="24"/>
        </w:rPr>
        <w:t>term</w:t>
      </w:r>
      <w:r w:rsidR="00E94004" w:rsidRPr="00B1350E">
        <w:rPr>
          <w:rFonts w:ascii="Arial" w:hAnsi="Arial" w:cs="Arial"/>
          <w:sz w:val="24"/>
          <w:szCs w:val="24"/>
        </w:rPr>
        <w:t xml:space="preserve"> outcomes, if they are sustained and shared with larger populations, </w:t>
      </w:r>
      <w:r w:rsidR="008B1D8F" w:rsidRPr="00B1350E">
        <w:rPr>
          <w:rFonts w:ascii="Arial" w:hAnsi="Arial" w:cs="Arial"/>
          <w:sz w:val="24"/>
          <w:szCs w:val="24"/>
        </w:rPr>
        <w:t xml:space="preserve">are expected to </w:t>
      </w:r>
      <w:r w:rsidR="00E94004" w:rsidRPr="00B1350E">
        <w:rPr>
          <w:rFonts w:ascii="Arial" w:hAnsi="Arial" w:cs="Arial"/>
          <w:sz w:val="24"/>
          <w:szCs w:val="24"/>
        </w:rPr>
        <w:t xml:space="preserve">create </w:t>
      </w:r>
      <w:r w:rsidR="00A96DF5" w:rsidRPr="00B1350E">
        <w:rPr>
          <w:rFonts w:ascii="Arial" w:hAnsi="Arial" w:cs="Arial"/>
          <w:sz w:val="24"/>
          <w:szCs w:val="24"/>
        </w:rPr>
        <w:t xml:space="preserve">more sweeping </w:t>
      </w:r>
      <w:r w:rsidR="008B1D8F" w:rsidRPr="00B1350E">
        <w:rPr>
          <w:rFonts w:ascii="Arial" w:hAnsi="Arial" w:cs="Arial"/>
          <w:sz w:val="24"/>
          <w:szCs w:val="24"/>
        </w:rPr>
        <w:t xml:space="preserve">changes </w:t>
      </w:r>
      <w:r w:rsidR="00D96F40" w:rsidRPr="00B1350E">
        <w:rPr>
          <w:rFonts w:ascii="Arial" w:hAnsi="Arial" w:cs="Arial"/>
          <w:sz w:val="24"/>
          <w:szCs w:val="24"/>
        </w:rPr>
        <w:t xml:space="preserve">in </w:t>
      </w:r>
      <w:r w:rsidR="00C64E06" w:rsidRPr="00B1350E">
        <w:rPr>
          <w:rFonts w:ascii="Arial" w:hAnsi="Arial" w:cs="Arial"/>
          <w:sz w:val="24"/>
          <w:szCs w:val="24"/>
        </w:rPr>
        <w:t>p</w:t>
      </w:r>
      <w:r w:rsidR="008B1D8F" w:rsidRPr="00B1350E">
        <w:rPr>
          <w:rFonts w:ascii="Arial" w:hAnsi="Arial" w:cs="Arial"/>
          <w:sz w:val="24"/>
          <w:szCs w:val="24"/>
        </w:rPr>
        <w:t>articipant</w:t>
      </w:r>
      <w:r w:rsidR="00C64E06" w:rsidRPr="00B1350E">
        <w:rPr>
          <w:rFonts w:ascii="Arial" w:hAnsi="Arial" w:cs="Arial"/>
          <w:sz w:val="24"/>
          <w:szCs w:val="24"/>
        </w:rPr>
        <w:t>s</w:t>
      </w:r>
      <w:r w:rsidR="00FE1E49" w:rsidRPr="00B1350E">
        <w:rPr>
          <w:rFonts w:ascii="Arial" w:hAnsi="Arial" w:cs="Arial"/>
          <w:sz w:val="24"/>
          <w:szCs w:val="24"/>
        </w:rPr>
        <w:t>, communit</w:t>
      </w:r>
      <w:r w:rsidR="00C64E06" w:rsidRPr="00B1350E">
        <w:rPr>
          <w:rFonts w:ascii="Arial" w:hAnsi="Arial" w:cs="Arial"/>
          <w:sz w:val="24"/>
          <w:szCs w:val="24"/>
        </w:rPr>
        <w:t>ies</w:t>
      </w:r>
      <w:r w:rsidR="00175CEB" w:rsidRPr="00B1350E">
        <w:rPr>
          <w:rFonts w:ascii="Arial" w:hAnsi="Arial" w:cs="Arial"/>
          <w:sz w:val="24"/>
          <w:szCs w:val="24"/>
        </w:rPr>
        <w:t>,</w:t>
      </w:r>
      <w:r w:rsidR="00C64E06" w:rsidRPr="00B1350E">
        <w:rPr>
          <w:rFonts w:ascii="Arial" w:hAnsi="Arial" w:cs="Arial"/>
          <w:sz w:val="24"/>
          <w:szCs w:val="24"/>
        </w:rPr>
        <w:t xml:space="preserve"> and/or other segments of society</w:t>
      </w:r>
      <w:r w:rsidR="00E94004" w:rsidRPr="00B1350E">
        <w:rPr>
          <w:rFonts w:ascii="Arial" w:hAnsi="Arial" w:cs="Arial"/>
          <w:sz w:val="24"/>
          <w:szCs w:val="24"/>
        </w:rPr>
        <w:t>—these are often called impacts</w:t>
      </w:r>
      <w:r w:rsidR="008B1D8F" w:rsidRPr="00B1350E">
        <w:rPr>
          <w:rFonts w:ascii="Arial" w:hAnsi="Arial" w:cs="Arial"/>
          <w:sz w:val="24"/>
          <w:szCs w:val="24"/>
        </w:rPr>
        <w:t xml:space="preserve">.  Once </w:t>
      </w:r>
      <w:r w:rsidR="00175CEB" w:rsidRPr="00B1350E">
        <w:rPr>
          <w:rFonts w:ascii="Arial" w:hAnsi="Arial" w:cs="Arial"/>
          <w:sz w:val="24"/>
          <w:szCs w:val="24"/>
        </w:rPr>
        <w:t xml:space="preserve">a </w:t>
      </w:r>
      <w:r w:rsidR="008B1D8F" w:rsidRPr="00B1350E">
        <w:rPr>
          <w:rFonts w:ascii="Arial" w:hAnsi="Arial" w:cs="Arial"/>
          <w:sz w:val="24"/>
          <w:szCs w:val="24"/>
        </w:rPr>
        <w:t xml:space="preserve">program </w:t>
      </w:r>
      <w:r w:rsidR="00175CEB" w:rsidRPr="00B1350E">
        <w:rPr>
          <w:rFonts w:ascii="Arial" w:hAnsi="Arial" w:cs="Arial"/>
          <w:sz w:val="24"/>
          <w:szCs w:val="24"/>
        </w:rPr>
        <w:t xml:space="preserve">logic model </w:t>
      </w:r>
      <w:r w:rsidR="008B1D8F" w:rsidRPr="00B1350E">
        <w:rPr>
          <w:rFonts w:ascii="Arial" w:hAnsi="Arial" w:cs="Arial"/>
          <w:sz w:val="24"/>
          <w:szCs w:val="24"/>
        </w:rPr>
        <w:t>is complete</w:t>
      </w:r>
      <w:r w:rsidR="00175CEB" w:rsidRPr="00B1350E">
        <w:rPr>
          <w:rFonts w:ascii="Arial" w:hAnsi="Arial" w:cs="Arial"/>
          <w:sz w:val="24"/>
          <w:szCs w:val="24"/>
        </w:rPr>
        <w:t xml:space="preserve">, </w:t>
      </w:r>
      <w:r w:rsidR="008B1D8F" w:rsidRPr="00B1350E">
        <w:rPr>
          <w:rFonts w:ascii="Arial" w:hAnsi="Arial" w:cs="Arial"/>
          <w:sz w:val="24"/>
          <w:szCs w:val="24"/>
        </w:rPr>
        <w:t xml:space="preserve">metrics </w:t>
      </w:r>
      <w:r w:rsidR="00D96F40" w:rsidRPr="00B1350E">
        <w:rPr>
          <w:rFonts w:ascii="Arial" w:hAnsi="Arial" w:cs="Arial"/>
          <w:sz w:val="24"/>
          <w:szCs w:val="24"/>
        </w:rPr>
        <w:t xml:space="preserve">are </w:t>
      </w:r>
      <w:r w:rsidR="008B1D8F" w:rsidRPr="00B1350E">
        <w:rPr>
          <w:rFonts w:ascii="Arial" w:hAnsi="Arial" w:cs="Arial"/>
          <w:sz w:val="24"/>
          <w:szCs w:val="24"/>
        </w:rPr>
        <w:t xml:space="preserve">developed </w:t>
      </w:r>
      <w:r w:rsidR="00D96F40" w:rsidRPr="00B1350E">
        <w:rPr>
          <w:rFonts w:ascii="Arial" w:hAnsi="Arial" w:cs="Arial"/>
          <w:sz w:val="24"/>
          <w:szCs w:val="24"/>
        </w:rPr>
        <w:t xml:space="preserve">to </w:t>
      </w:r>
      <w:r w:rsidR="008B1D8F" w:rsidRPr="00B1350E">
        <w:rPr>
          <w:rFonts w:ascii="Arial" w:hAnsi="Arial" w:cs="Arial"/>
          <w:sz w:val="24"/>
          <w:szCs w:val="24"/>
        </w:rPr>
        <w:t xml:space="preserve">assess </w:t>
      </w:r>
      <w:r w:rsidR="00A14832" w:rsidRPr="00B1350E">
        <w:rPr>
          <w:rFonts w:ascii="Arial" w:hAnsi="Arial" w:cs="Arial"/>
          <w:sz w:val="24"/>
          <w:szCs w:val="24"/>
        </w:rPr>
        <w:t xml:space="preserve">whether </w:t>
      </w:r>
      <w:r w:rsidR="00175CEB" w:rsidRPr="00B1350E">
        <w:rPr>
          <w:rFonts w:ascii="Arial" w:hAnsi="Arial" w:cs="Arial"/>
          <w:sz w:val="24"/>
          <w:szCs w:val="24"/>
        </w:rPr>
        <w:t>projected</w:t>
      </w:r>
      <w:r w:rsidR="00A14832" w:rsidRPr="00B1350E">
        <w:rPr>
          <w:rFonts w:ascii="Arial" w:hAnsi="Arial" w:cs="Arial"/>
          <w:sz w:val="24"/>
          <w:szCs w:val="24"/>
        </w:rPr>
        <w:t xml:space="preserve"> </w:t>
      </w:r>
      <w:r w:rsidR="008B1D8F" w:rsidRPr="00B1350E">
        <w:rPr>
          <w:rFonts w:ascii="Arial" w:hAnsi="Arial" w:cs="Arial"/>
          <w:sz w:val="24"/>
          <w:szCs w:val="24"/>
        </w:rPr>
        <w:t xml:space="preserve">changes in </w:t>
      </w:r>
      <w:r w:rsidR="00A96DF5" w:rsidRPr="00B1350E">
        <w:rPr>
          <w:rFonts w:ascii="Arial" w:hAnsi="Arial" w:cs="Arial"/>
          <w:sz w:val="24"/>
          <w:szCs w:val="24"/>
        </w:rPr>
        <w:t xml:space="preserve">outputs, </w:t>
      </w:r>
      <w:r w:rsidR="008B1D8F" w:rsidRPr="00B1350E">
        <w:rPr>
          <w:rFonts w:ascii="Arial" w:hAnsi="Arial" w:cs="Arial"/>
          <w:sz w:val="24"/>
          <w:szCs w:val="24"/>
        </w:rPr>
        <w:t>outcomes</w:t>
      </w:r>
      <w:r w:rsidR="00E94004" w:rsidRPr="00B1350E">
        <w:rPr>
          <w:rFonts w:ascii="Arial" w:hAnsi="Arial" w:cs="Arial"/>
          <w:sz w:val="24"/>
          <w:szCs w:val="24"/>
        </w:rPr>
        <w:t>,</w:t>
      </w:r>
      <w:r w:rsidR="008B1D8F" w:rsidRPr="00B1350E">
        <w:rPr>
          <w:rFonts w:ascii="Arial" w:hAnsi="Arial" w:cs="Arial"/>
          <w:sz w:val="24"/>
          <w:szCs w:val="24"/>
        </w:rPr>
        <w:t xml:space="preserve"> and</w:t>
      </w:r>
      <w:r w:rsidR="00D96F40" w:rsidRPr="00B1350E">
        <w:rPr>
          <w:rFonts w:ascii="Arial" w:hAnsi="Arial" w:cs="Arial"/>
          <w:sz w:val="24"/>
          <w:szCs w:val="24"/>
        </w:rPr>
        <w:t>, ideally</w:t>
      </w:r>
      <w:r w:rsidR="009D291F" w:rsidRPr="00B1350E">
        <w:rPr>
          <w:rFonts w:ascii="Arial" w:hAnsi="Arial" w:cs="Arial"/>
          <w:sz w:val="24"/>
          <w:szCs w:val="24"/>
        </w:rPr>
        <w:t>, impacts</w:t>
      </w:r>
      <w:r w:rsidR="00175CEB" w:rsidRPr="00B1350E">
        <w:rPr>
          <w:rFonts w:ascii="Arial" w:hAnsi="Arial" w:cs="Arial"/>
          <w:sz w:val="24"/>
          <w:szCs w:val="24"/>
        </w:rPr>
        <w:t>,</w:t>
      </w:r>
      <w:r w:rsidR="00A14832" w:rsidRPr="00B1350E">
        <w:rPr>
          <w:rFonts w:ascii="Arial" w:hAnsi="Arial" w:cs="Arial"/>
          <w:sz w:val="24"/>
          <w:szCs w:val="24"/>
        </w:rPr>
        <w:t xml:space="preserve"> happen and to what extent</w:t>
      </w:r>
      <w:r w:rsidR="008B1D8F" w:rsidRPr="00B1350E">
        <w:rPr>
          <w:rFonts w:ascii="Arial" w:hAnsi="Arial" w:cs="Arial"/>
          <w:sz w:val="24"/>
          <w:szCs w:val="24"/>
        </w:rPr>
        <w:t xml:space="preserve">.   </w:t>
      </w:r>
    </w:p>
    <w:p w:rsidR="00FE1E49"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Consider an early child literacy program.  A logic model </w:t>
      </w:r>
      <w:r w:rsidR="00D96F40" w:rsidRPr="00B1350E">
        <w:rPr>
          <w:rFonts w:ascii="Arial" w:hAnsi="Arial" w:cs="Arial"/>
          <w:sz w:val="24"/>
          <w:szCs w:val="24"/>
        </w:rPr>
        <w:t>articulate</w:t>
      </w:r>
      <w:r w:rsidR="00175CEB" w:rsidRPr="00B1350E">
        <w:rPr>
          <w:rFonts w:ascii="Arial" w:hAnsi="Arial" w:cs="Arial"/>
          <w:sz w:val="24"/>
          <w:szCs w:val="24"/>
        </w:rPr>
        <w:t>s</w:t>
      </w:r>
      <w:r w:rsidR="00D96F40" w:rsidRPr="00B1350E">
        <w:rPr>
          <w:rFonts w:ascii="Arial" w:hAnsi="Arial" w:cs="Arial"/>
          <w:sz w:val="24"/>
          <w:szCs w:val="24"/>
        </w:rPr>
        <w:t xml:space="preserve"> </w:t>
      </w:r>
      <w:r w:rsidRPr="00B1350E">
        <w:rPr>
          <w:rFonts w:ascii="Arial" w:hAnsi="Arial" w:cs="Arial"/>
          <w:sz w:val="24"/>
          <w:szCs w:val="24"/>
        </w:rPr>
        <w:t>program intention</w:t>
      </w:r>
      <w:r w:rsidR="00175CEB" w:rsidRPr="00B1350E">
        <w:rPr>
          <w:rFonts w:ascii="Arial" w:hAnsi="Arial" w:cs="Arial"/>
          <w:sz w:val="24"/>
          <w:szCs w:val="24"/>
        </w:rPr>
        <w:t>s</w:t>
      </w:r>
      <w:r w:rsidRPr="00B1350E">
        <w:rPr>
          <w:rFonts w:ascii="Arial" w:hAnsi="Arial" w:cs="Arial"/>
          <w:sz w:val="24"/>
          <w:szCs w:val="24"/>
        </w:rPr>
        <w:t xml:space="preserve">.  Funds and staff are allotted </w:t>
      </w:r>
      <w:r w:rsidR="006759E4" w:rsidRPr="00B1350E">
        <w:rPr>
          <w:rFonts w:ascii="Arial" w:hAnsi="Arial" w:cs="Arial"/>
          <w:sz w:val="24"/>
          <w:szCs w:val="24"/>
        </w:rPr>
        <w:t>as</w:t>
      </w:r>
      <w:r w:rsidR="002902F1" w:rsidRPr="00B1350E">
        <w:rPr>
          <w:rFonts w:ascii="Arial" w:hAnsi="Arial" w:cs="Arial"/>
          <w:sz w:val="24"/>
          <w:szCs w:val="24"/>
        </w:rPr>
        <w:t xml:space="preserve"> inputs</w:t>
      </w:r>
      <w:r w:rsidRPr="00B1350E">
        <w:rPr>
          <w:rFonts w:ascii="Arial" w:hAnsi="Arial" w:cs="Arial"/>
          <w:sz w:val="24"/>
          <w:szCs w:val="24"/>
        </w:rPr>
        <w:t xml:space="preserve">. </w:t>
      </w:r>
      <w:r w:rsidR="00E94004" w:rsidRPr="00B1350E">
        <w:rPr>
          <w:rFonts w:ascii="Arial" w:hAnsi="Arial" w:cs="Arial"/>
          <w:sz w:val="24"/>
          <w:szCs w:val="24"/>
        </w:rPr>
        <w:t xml:space="preserve"> </w:t>
      </w:r>
      <w:r w:rsidR="00175CEB" w:rsidRPr="00B1350E">
        <w:rPr>
          <w:rFonts w:ascii="Arial" w:hAnsi="Arial" w:cs="Arial"/>
          <w:sz w:val="24"/>
          <w:szCs w:val="24"/>
        </w:rPr>
        <w:t>S</w:t>
      </w:r>
      <w:r w:rsidRPr="00B1350E">
        <w:rPr>
          <w:rFonts w:ascii="Arial" w:hAnsi="Arial" w:cs="Arial"/>
          <w:sz w:val="24"/>
          <w:szCs w:val="24"/>
        </w:rPr>
        <w:t>taff design</w:t>
      </w:r>
      <w:r w:rsidR="00175CEB" w:rsidRPr="00B1350E">
        <w:rPr>
          <w:rFonts w:ascii="Arial" w:hAnsi="Arial" w:cs="Arial"/>
          <w:sz w:val="24"/>
          <w:szCs w:val="24"/>
        </w:rPr>
        <w:t>s</w:t>
      </w:r>
      <w:r w:rsidRPr="00B1350E">
        <w:rPr>
          <w:rFonts w:ascii="Arial" w:hAnsi="Arial" w:cs="Arial"/>
          <w:sz w:val="24"/>
          <w:szCs w:val="24"/>
        </w:rPr>
        <w:t xml:space="preserve"> and administer</w:t>
      </w:r>
      <w:r w:rsidR="00175CEB" w:rsidRPr="00B1350E">
        <w:rPr>
          <w:rFonts w:ascii="Arial" w:hAnsi="Arial" w:cs="Arial"/>
          <w:sz w:val="24"/>
          <w:szCs w:val="24"/>
        </w:rPr>
        <w:t>s</w:t>
      </w:r>
      <w:r w:rsidRPr="00B1350E">
        <w:rPr>
          <w:rFonts w:ascii="Arial" w:hAnsi="Arial" w:cs="Arial"/>
          <w:sz w:val="24"/>
          <w:szCs w:val="24"/>
        </w:rPr>
        <w:t xml:space="preserve"> activities like curriculum design, instructor training</w:t>
      </w:r>
      <w:r w:rsidR="00D96F40" w:rsidRPr="00B1350E">
        <w:rPr>
          <w:rFonts w:ascii="Arial" w:hAnsi="Arial" w:cs="Arial"/>
          <w:sz w:val="24"/>
          <w:szCs w:val="24"/>
        </w:rPr>
        <w:t>,</w:t>
      </w:r>
      <w:r w:rsidRPr="00B1350E">
        <w:rPr>
          <w:rFonts w:ascii="Arial" w:hAnsi="Arial" w:cs="Arial"/>
          <w:sz w:val="24"/>
          <w:szCs w:val="24"/>
        </w:rPr>
        <w:t xml:space="preserve"> and </w:t>
      </w:r>
      <w:r w:rsidR="00D96F40" w:rsidRPr="00B1350E">
        <w:rPr>
          <w:rFonts w:ascii="Arial" w:hAnsi="Arial" w:cs="Arial"/>
          <w:sz w:val="24"/>
          <w:szCs w:val="24"/>
        </w:rPr>
        <w:t>outreach</w:t>
      </w:r>
      <w:r w:rsidRPr="00B1350E">
        <w:rPr>
          <w:rFonts w:ascii="Arial" w:hAnsi="Arial" w:cs="Arial"/>
          <w:sz w:val="24"/>
          <w:szCs w:val="24"/>
        </w:rPr>
        <w:t xml:space="preserve">.  These activities lead to </w:t>
      </w:r>
      <w:r w:rsidR="00A96DF5" w:rsidRPr="00B1350E">
        <w:rPr>
          <w:rFonts w:ascii="Arial" w:hAnsi="Arial" w:cs="Arial"/>
          <w:sz w:val="24"/>
          <w:szCs w:val="24"/>
        </w:rPr>
        <w:t xml:space="preserve">an output </w:t>
      </w:r>
      <w:r w:rsidR="00A96DF5" w:rsidRPr="00B1350E">
        <w:rPr>
          <w:rFonts w:ascii="Arial" w:hAnsi="Arial" w:cs="Arial"/>
          <w:sz w:val="24"/>
          <w:szCs w:val="24"/>
        </w:rPr>
        <w:lastRenderedPageBreak/>
        <w:t xml:space="preserve">of </w:t>
      </w:r>
      <w:r w:rsidR="00175CEB" w:rsidRPr="00B1350E">
        <w:rPr>
          <w:rFonts w:ascii="Arial" w:hAnsi="Arial" w:cs="Arial"/>
          <w:sz w:val="24"/>
          <w:szCs w:val="24"/>
        </w:rPr>
        <w:t>direct participation for</w:t>
      </w:r>
      <w:r w:rsidRPr="00B1350E">
        <w:rPr>
          <w:rFonts w:ascii="Arial" w:hAnsi="Arial" w:cs="Arial"/>
          <w:sz w:val="24"/>
          <w:szCs w:val="24"/>
        </w:rPr>
        <w:t xml:space="preserve"> </w:t>
      </w:r>
      <w:r w:rsidR="00FE1E49" w:rsidRPr="00B1350E">
        <w:rPr>
          <w:rFonts w:ascii="Arial" w:hAnsi="Arial" w:cs="Arial"/>
          <w:sz w:val="24"/>
          <w:szCs w:val="24"/>
        </w:rPr>
        <w:t xml:space="preserve">pre-school or very early readers </w:t>
      </w:r>
      <w:r w:rsidRPr="00B1350E">
        <w:rPr>
          <w:rFonts w:ascii="Arial" w:hAnsi="Arial" w:cs="Arial"/>
          <w:sz w:val="24"/>
          <w:szCs w:val="24"/>
        </w:rPr>
        <w:t xml:space="preserve">(and </w:t>
      </w:r>
      <w:r w:rsidR="00D96F40" w:rsidRPr="00B1350E">
        <w:rPr>
          <w:rFonts w:ascii="Arial" w:hAnsi="Arial" w:cs="Arial"/>
          <w:sz w:val="24"/>
          <w:szCs w:val="24"/>
        </w:rPr>
        <w:t>usually</w:t>
      </w:r>
      <w:r w:rsidRPr="00B1350E">
        <w:rPr>
          <w:rFonts w:ascii="Arial" w:hAnsi="Arial" w:cs="Arial"/>
          <w:sz w:val="24"/>
          <w:szCs w:val="24"/>
        </w:rPr>
        <w:t xml:space="preserve"> caregivers).  As a result of participation, the children</w:t>
      </w:r>
      <w:r w:rsidR="00DA2079">
        <w:rPr>
          <w:rFonts w:ascii="Arial" w:hAnsi="Arial" w:cs="Arial"/>
          <w:sz w:val="24"/>
          <w:szCs w:val="24"/>
        </w:rPr>
        <w:t xml:space="preserve"> are expected, for instance, </w:t>
      </w:r>
      <w:r w:rsidR="00D96F40" w:rsidRPr="00B1350E">
        <w:rPr>
          <w:rFonts w:ascii="Arial" w:hAnsi="Arial" w:cs="Arial"/>
          <w:sz w:val="24"/>
          <w:szCs w:val="24"/>
        </w:rPr>
        <w:t>to</w:t>
      </w:r>
      <w:r w:rsidRPr="00B1350E">
        <w:rPr>
          <w:rFonts w:ascii="Arial" w:hAnsi="Arial" w:cs="Arial"/>
          <w:sz w:val="24"/>
          <w:szCs w:val="24"/>
        </w:rPr>
        <w:t xml:space="preserve"> increase their cognitive capacities </w:t>
      </w:r>
      <w:r w:rsidR="002902F1" w:rsidRPr="00B1350E">
        <w:rPr>
          <w:rFonts w:ascii="Arial" w:hAnsi="Arial" w:cs="Arial"/>
          <w:sz w:val="24"/>
          <w:szCs w:val="24"/>
        </w:rPr>
        <w:t>and/</w:t>
      </w:r>
      <w:r w:rsidR="00FE1E49" w:rsidRPr="00B1350E">
        <w:rPr>
          <w:rFonts w:ascii="Arial" w:hAnsi="Arial" w:cs="Arial"/>
          <w:sz w:val="24"/>
          <w:szCs w:val="24"/>
        </w:rPr>
        <w:t xml:space="preserve">or </w:t>
      </w:r>
      <w:r w:rsidR="00DA2079">
        <w:rPr>
          <w:rFonts w:ascii="Arial" w:hAnsi="Arial" w:cs="Arial"/>
          <w:sz w:val="24"/>
          <w:szCs w:val="24"/>
        </w:rPr>
        <w:t xml:space="preserve">to </w:t>
      </w:r>
      <w:r w:rsidR="00BD090B" w:rsidRPr="00B1350E">
        <w:rPr>
          <w:rFonts w:ascii="Arial" w:hAnsi="Arial" w:cs="Arial"/>
          <w:sz w:val="24"/>
          <w:szCs w:val="24"/>
        </w:rPr>
        <w:t>become</w:t>
      </w:r>
      <w:r w:rsidRPr="00B1350E">
        <w:rPr>
          <w:rFonts w:ascii="Arial" w:hAnsi="Arial" w:cs="Arial"/>
          <w:sz w:val="24"/>
          <w:szCs w:val="24"/>
        </w:rPr>
        <w:t xml:space="preserve"> better prepared </w:t>
      </w:r>
      <w:r w:rsidR="00FE1E49" w:rsidRPr="00B1350E">
        <w:rPr>
          <w:rFonts w:ascii="Arial" w:hAnsi="Arial" w:cs="Arial"/>
          <w:sz w:val="24"/>
          <w:szCs w:val="24"/>
        </w:rPr>
        <w:t>to participate</w:t>
      </w:r>
      <w:r w:rsidRPr="00B1350E">
        <w:rPr>
          <w:rFonts w:ascii="Arial" w:hAnsi="Arial" w:cs="Arial"/>
          <w:sz w:val="24"/>
          <w:szCs w:val="24"/>
        </w:rPr>
        <w:t xml:space="preserve"> in </w:t>
      </w:r>
      <w:r w:rsidR="00175CEB" w:rsidRPr="00B1350E">
        <w:rPr>
          <w:rFonts w:ascii="Arial" w:hAnsi="Arial" w:cs="Arial"/>
          <w:sz w:val="24"/>
          <w:szCs w:val="24"/>
        </w:rPr>
        <w:t>schooling</w:t>
      </w:r>
      <w:r w:rsidRPr="00B1350E">
        <w:rPr>
          <w:rFonts w:ascii="Arial" w:hAnsi="Arial" w:cs="Arial"/>
          <w:sz w:val="24"/>
          <w:szCs w:val="24"/>
        </w:rPr>
        <w:t xml:space="preserve">.  </w:t>
      </w:r>
      <w:r w:rsidR="004B764F" w:rsidRPr="00B1350E">
        <w:rPr>
          <w:rFonts w:ascii="Arial" w:hAnsi="Arial" w:cs="Arial"/>
          <w:sz w:val="24"/>
          <w:szCs w:val="24"/>
        </w:rPr>
        <w:t>I</w:t>
      </w:r>
      <w:r w:rsidR="00FE1E49" w:rsidRPr="00B1350E">
        <w:rPr>
          <w:rFonts w:ascii="Arial" w:hAnsi="Arial" w:cs="Arial"/>
          <w:sz w:val="24"/>
          <w:szCs w:val="24"/>
        </w:rPr>
        <w:t xml:space="preserve">t is anticipated that </w:t>
      </w:r>
      <w:r w:rsidR="002902F1" w:rsidRPr="00B1350E">
        <w:rPr>
          <w:rFonts w:ascii="Arial" w:hAnsi="Arial" w:cs="Arial"/>
          <w:sz w:val="24"/>
          <w:szCs w:val="24"/>
        </w:rPr>
        <w:t xml:space="preserve">the </w:t>
      </w:r>
      <w:r w:rsidR="00FE1E49" w:rsidRPr="00B1350E">
        <w:rPr>
          <w:rFonts w:ascii="Arial" w:hAnsi="Arial" w:cs="Arial"/>
          <w:sz w:val="24"/>
          <w:szCs w:val="24"/>
        </w:rPr>
        <w:t xml:space="preserve">participating </w:t>
      </w:r>
      <w:r w:rsidRPr="00B1350E">
        <w:rPr>
          <w:rFonts w:ascii="Arial" w:hAnsi="Arial" w:cs="Arial"/>
          <w:sz w:val="24"/>
          <w:szCs w:val="24"/>
        </w:rPr>
        <w:t xml:space="preserve">children </w:t>
      </w:r>
      <w:r w:rsidR="0035669A" w:rsidRPr="00B1350E">
        <w:rPr>
          <w:rFonts w:ascii="Arial" w:hAnsi="Arial" w:cs="Arial"/>
          <w:sz w:val="24"/>
          <w:szCs w:val="24"/>
        </w:rPr>
        <w:t xml:space="preserve">will </w:t>
      </w:r>
      <w:r w:rsidRPr="00B1350E">
        <w:rPr>
          <w:rFonts w:ascii="Arial" w:hAnsi="Arial" w:cs="Arial"/>
          <w:sz w:val="24"/>
          <w:szCs w:val="24"/>
        </w:rPr>
        <w:t>experience longer-term</w:t>
      </w:r>
      <w:r w:rsidR="00175CEB" w:rsidRPr="00B1350E">
        <w:rPr>
          <w:rFonts w:ascii="Arial" w:hAnsi="Arial" w:cs="Arial"/>
          <w:sz w:val="24"/>
          <w:szCs w:val="24"/>
        </w:rPr>
        <w:t xml:space="preserve"> </w:t>
      </w:r>
      <w:r w:rsidRPr="00B1350E">
        <w:rPr>
          <w:rFonts w:ascii="Arial" w:hAnsi="Arial" w:cs="Arial"/>
          <w:sz w:val="24"/>
          <w:szCs w:val="24"/>
        </w:rPr>
        <w:t xml:space="preserve">improvements in learning and </w:t>
      </w:r>
      <w:r w:rsidR="002902F1" w:rsidRPr="00B1350E">
        <w:rPr>
          <w:rFonts w:ascii="Arial" w:hAnsi="Arial" w:cs="Arial"/>
          <w:sz w:val="24"/>
          <w:szCs w:val="24"/>
        </w:rPr>
        <w:t xml:space="preserve">higher </w:t>
      </w:r>
      <w:r w:rsidRPr="00B1350E">
        <w:rPr>
          <w:rFonts w:ascii="Arial" w:hAnsi="Arial" w:cs="Arial"/>
          <w:sz w:val="24"/>
          <w:szCs w:val="24"/>
        </w:rPr>
        <w:t>academic success</w:t>
      </w:r>
      <w:r w:rsidR="00175CEB" w:rsidRPr="00B1350E">
        <w:rPr>
          <w:rFonts w:ascii="Arial" w:hAnsi="Arial" w:cs="Arial"/>
          <w:sz w:val="24"/>
          <w:szCs w:val="24"/>
        </w:rPr>
        <w:t xml:space="preserve"> (impacts)</w:t>
      </w:r>
      <w:r w:rsidRPr="00B1350E">
        <w:rPr>
          <w:rFonts w:ascii="Arial" w:hAnsi="Arial" w:cs="Arial"/>
          <w:sz w:val="24"/>
          <w:szCs w:val="24"/>
        </w:rPr>
        <w:t xml:space="preserve">.  </w:t>
      </w:r>
      <w:r w:rsidR="00A96DF5" w:rsidRPr="00B1350E">
        <w:rPr>
          <w:rFonts w:ascii="Arial" w:hAnsi="Arial" w:cs="Arial"/>
          <w:sz w:val="24"/>
          <w:szCs w:val="24"/>
        </w:rPr>
        <w:t>Once a logic model and its embedded theory is complete, metrics can assess the validity for any included propositions.  For instance, output metrics might count the number of participati</w:t>
      </w:r>
      <w:r w:rsidR="00D23226" w:rsidRPr="00B1350E">
        <w:rPr>
          <w:rFonts w:ascii="Arial" w:hAnsi="Arial" w:cs="Arial"/>
          <w:sz w:val="24"/>
          <w:szCs w:val="24"/>
        </w:rPr>
        <w:t>ng children</w:t>
      </w:r>
      <w:r w:rsidR="00A96DF5" w:rsidRPr="00B1350E">
        <w:rPr>
          <w:rFonts w:ascii="Arial" w:hAnsi="Arial" w:cs="Arial"/>
          <w:sz w:val="24"/>
          <w:szCs w:val="24"/>
        </w:rPr>
        <w:t xml:space="preserve">. </w:t>
      </w:r>
      <w:r w:rsidR="0035669A" w:rsidRPr="00B1350E">
        <w:rPr>
          <w:rFonts w:ascii="Arial" w:hAnsi="Arial" w:cs="Arial"/>
          <w:sz w:val="24"/>
          <w:szCs w:val="24"/>
        </w:rPr>
        <w:t xml:space="preserve"> </w:t>
      </w:r>
      <w:r w:rsidR="00A96DF5" w:rsidRPr="00B1350E">
        <w:rPr>
          <w:rFonts w:ascii="Arial" w:hAnsi="Arial" w:cs="Arial"/>
          <w:sz w:val="24"/>
          <w:szCs w:val="24"/>
        </w:rPr>
        <w:t xml:space="preserve">Outcome metrics might estimate changes in </w:t>
      </w:r>
      <w:r w:rsidR="00E94D24" w:rsidRPr="00B1350E">
        <w:rPr>
          <w:rFonts w:ascii="Arial" w:hAnsi="Arial" w:cs="Arial"/>
          <w:sz w:val="24"/>
          <w:szCs w:val="24"/>
        </w:rPr>
        <w:t>par</w:t>
      </w:r>
      <w:r w:rsidR="0035669A" w:rsidRPr="00B1350E">
        <w:rPr>
          <w:rFonts w:ascii="Arial" w:hAnsi="Arial" w:cs="Arial"/>
          <w:sz w:val="24"/>
          <w:szCs w:val="24"/>
        </w:rPr>
        <w:t>t</w:t>
      </w:r>
      <w:r w:rsidR="00E94D24" w:rsidRPr="00B1350E">
        <w:rPr>
          <w:rFonts w:ascii="Arial" w:hAnsi="Arial" w:cs="Arial"/>
          <w:sz w:val="24"/>
          <w:szCs w:val="24"/>
        </w:rPr>
        <w:t>ic</w:t>
      </w:r>
      <w:r w:rsidR="0035669A" w:rsidRPr="00B1350E">
        <w:rPr>
          <w:rFonts w:ascii="Arial" w:hAnsi="Arial" w:cs="Arial"/>
          <w:sz w:val="24"/>
          <w:szCs w:val="24"/>
        </w:rPr>
        <w:t>ipating</w:t>
      </w:r>
      <w:r w:rsidR="00A96DF5" w:rsidRPr="00B1350E">
        <w:rPr>
          <w:rFonts w:ascii="Arial" w:hAnsi="Arial" w:cs="Arial"/>
          <w:sz w:val="24"/>
          <w:szCs w:val="24"/>
        </w:rPr>
        <w:t xml:space="preserve"> children’s cognitive abilities during the program’s life.  </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 logic model approach </w:t>
      </w:r>
      <w:r w:rsidR="00207A69" w:rsidRPr="00B1350E">
        <w:rPr>
          <w:rFonts w:ascii="Arial" w:hAnsi="Arial" w:cs="Arial"/>
          <w:sz w:val="24"/>
          <w:szCs w:val="24"/>
        </w:rPr>
        <w:t>is</w:t>
      </w:r>
      <w:r w:rsidRPr="00B1350E">
        <w:rPr>
          <w:rFonts w:ascii="Arial" w:hAnsi="Arial" w:cs="Arial"/>
          <w:sz w:val="24"/>
          <w:szCs w:val="24"/>
        </w:rPr>
        <w:t xml:space="preserve"> useful for program planning and assessment.  It </w:t>
      </w:r>
      <w:r w:rsidR="00FE1E49" w:rsidRPr="00B1350E">
        <w:rPr>
          <w:rFonts w:ascii="Arial" w:hAnsi="Arial" w:cs="Arial"/>
          <w:sz w:val="24"/>
          <w:szCs w:val="24"/>
        </w:rPr>
        <w:t>helps</w:t>
      </w:r>
      <w:r w:rsidRPr="00B1350E">
        <w:rPr>
          <w:rFonts w:ascii="Arial" w:hAnsi="Arial" w:cs="Arial"/>
          <w:sz w:val="24"/>
          <w:szCs w:val="24"/>
        </w:rPr>
        <w:t xml:space="preserve"> practitioners clarify program intentions by </w:t>
      </w:r>
      <w:r w:rsidR="0035669A" w:rsidRPr="00B1350E">
        <w:rPr>
          <w:rFonts w:ascii="Arial" w:hAnsi="Arial" w:cs="Arial"/>
          <w:sz w:val="24"/>
          <w:szCs w:val="24"/>
        </w:rPr>
        <w:t>articulating an</w:t>
      </w:r>
      <w:r w:rsidRPr="00B1350E">
        <w:rPr>
          <w:rFonts w:ascii="Arial" w:hAnsi="Arial" w:cs="Arial"/>
          <w:sz w:val="24"/>
          <w:szCs w:val="24"/>
        </w:rPr>
        <w:t xml:space="preserve"> underlying logic.  It </w:t>
      </w:r>
      <w:r w:rsidR="00207A69" w:rsidRPr="00B1350E">
        <w:rPr>
          <w:rFonts w:ascii="Arial" w:hAnsi="Arial" w:cs="Arial"/>
          <w:sz w:val="24"/>
          <w:szCs w:val="24"/>
        </w:rPr>
        <w:t>helps</w:t>
      </w:r>
      <w:r w:rsidRPr="00B1350E">
        <w:rPr>
          <w:rFonts w:ascii="Arial" w:hAnsi="Arial" w:cs="Arial"/>
          <w:sz w:val="24"/>
          <w:szCs w:val="24"/>
        </w:rPr>
        <w:t xml:space="preserve"> fram</w:t>
      </w:r>
      <w:r w:rsidR="00207A69" w:rsidRPr="00B1350E">
        <w:rPr>
          <w:rFonts w:ascii="Arial" w:hAnsi="Arial" w:cs="Arial"/>
          <w:sz w:val="24"/>
          <w:szCs w:val="24"/>
        </w:rPr>
        <w:t>e</w:t>
      </w:r>
      <w:r w:rsidRPr="00B1350E">
        <w:rPr>
          <w:rFonts w:ascii="Arial" w:hAnsi="Arial" w:cs="Arial"/>
          <w:sz w:val="24"/>
          <w:szCs w:val="24"/>
        </w:rPr>
        <w:t xml:space="preserve"> data </w:t>
      </w:r>
      <w:r w:rsidR="00FE1E49" w:rsidRPr="00B1350E">
        <w:rPr>
          <w:rFonts w:ascii="Arial" w:hAnsi="Arial" w:cs="Arial"/>
          <w:sz w:val="24"/>
          <w:szCs w:val="24"/>
        </w:rPr>
        <w:t xml:space="preserve">for </w:t>
      </w:r>
      <w:r w:rsidRPr="00B1350E">
        <w:rPr>
          <w:rFonts w:ascii="Arial" w:hAnsi="Arial" w:cs="Arial"/>
          <w:sz w:val="24"/>
          <w:szCs w:val="24"/>
        </w:rPr>
        <w:t xml:space="preserve">collection and analysis.  </w:t>
      </w:r>
      <w:r w:rsidR="00FE1E49" w:rsidRPr="00B1350E">
        <w:rPr>
          <w:rFonts w:ascii="Arial" w:hAnsi="Arial" w:cs="Arial"/>
          <w:sz w:val="24"/>
          <w:szCs w:val="24"/>
        </w:rPr>
        <w:t>I</w:t>
      </w:r>
      <w:r w:rsidRPr="00B1350E">
        <w:rPr>
          <w:rFonts w:ascii="Arial" w:hAnsi="Arial" w:cs="Arial"/>
          <w:sz w:val="24"/>
          <w:szCs w:val="24"/>
        </w:rPr>
        <w:t xml:space="preserve">t moves </w:t>
      </w:r>
      <w:r w:rsidR="00A96DF5" w:rsidRPr="00B1350E">
        <w:rPr>
          <w:rFonts w:ascii="Arial" w:hAnsi="Arial" w:cs="Arial"/>
          <w:sz w:val="24"/>
          <w:szCs w:val="24"/>
        </w:rPr>
        <w:t xml:space="preserve">administrator and policy maker </w:t>
      </w:r>
      <w:r w:rsidRPr="00B1350E">
        <w:rPr>
          <w:rFonts w:ascii="Arial" w:hAnsi="Arial" w:cs="Arial"/>
          <w:sz w:val="24"/>
          <w:szCs w:val="24"/>
        </w:rPr>
        <w:t xml:space="preserve">focus to program performance by shifting attention </w:t>
      </w:r>
      <w:r w:rsidR="00A96DF5" w:rsidRPr="00B1350E">
        <w:rPr>
          <w:rFonts w:ascii="Arial" w:hAnsi="Arial" w:cs="Arial"/>
          <w:sz w:val="24"/>
          <w:szCs w:val="24"/>
        </w:rPr>
        <w:t xml:space="preserve">from inputs and </w:t>
      </w:r>
      <w:r w:rsidRPr="00B1350E">
        <w:rPr>
          <w:rFonts w:ascii="Arial" w:hAnsi="Arial" w:cs="Arial"/>
          <w:sz w:val="24"/>
          <w:szCs w:val="24"/>
        </w:rPr>
        <w:t>towards outputs, outcomes</w:t>
      </w:r>
      <w:r w:rsidR="00FE1E49" w:rsidRPr="00B1350E">
        <w:rPr>
          <w:rFonts w:ascii="Arial" w:hAnsi="Arial" w:cs="Arial"/>
          <w:sz w:val="24"/>
          <w:szCs w:val="24"/>
        </w:rPr>
        <w:t>,</w:t>
      </w:r>
      <w:r w:rsidRPr="00B1350E">
        <w:rPr>
          <w:rFonts w:ascii="Arial" w:hAnsi="Arial" w:cs="Arial"/>
          <w:sz w:val="24"/>
          <w:szCs w:val="24"/>
        </w:rPr>
        <w:t xml:space="preserve"> and impacts.  </w:t>
      </w:r>
    </w:p>
    <w:p w:rsidR="008B1D8F" w:rsidRPr="00B1350E" w:rsidRDefault="00207A69"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Unfortunately</w:t>
      </w:r>
      <w:r w:rsidR="008B1D8F" w:rsidRPr="00B1350E">
        <w:rPr>
          <w:rFonts w:ascii="Arial" w:hAnsi="Arial" w:cs="Arial"/>
          <w:sz w:val="24"/>
          <w:szCs w:val="24"/>
        </w:rPr>
        <w:t xml:space="preserve">, the model has </w:t>
      </w:r>
      <w:r w:rsidR="002902F1" w:rsidRPr="00B1350E">
        <w:rPr>
          <w:rFonts w:ascii="Arial" w:hAnsi="Arial" w:cs="Arial"/>
          <w:sz w:val="24"/>
          <w:szCs w:val="24"/>
        </w:rPr>
        <w:t xml:space="preserve">four </w:t>
      </w:r>
      <w:r w:rsidR="008B1D8F" w:rsidRPr="00B1350E">
        <w:rPr>
          <w:rFonts w:ascii="Arial" w:hAnsi="Arial" w:cs="Arial"/>
          <w:sz w:val="24"/>
          <w:szCs w:val="24"/>
        </w:rPr>
        <w:t xml:space="preserve">major weaknesses.  First, </w:t>
      </w:r>
      <w:r w:rsidRPr="00B1350E">
        <w:rPr>
          <w:rFonts w:ascii="Arial" w:hAnsi="Arial" w:cs="Arial"/>
          <w:sz w:val="24"/>
          <w:szCs w:val="24"/>
        </w:rPr>
        <w:t xml:space="preserve">the </w:t>
      </w:r>
      <w:r w:rsidR="008B1D8F" w:rsidRPr="00B1350E">
        <w:rPr>
          <w:rFonts w:ascii="Arial" w:hAnsi="Arial" w:cs="Arial"/>
          <w:sz w:val="24"/>
          <w:szCs w:val="24"/>
        </w:rPr>
        <w:t xml:space="preserve">linear design can oversimplify the </w:t>
      </w:r>
      <w:r w:rsidR="000D7B11" w:rsidRPr="00B1350E">
        <w:rPr>
          <w:rFonts w:ascii="Arial" w:hAnsi="Arial" w:cs="Arial"/>
          <w:sz w:val="24"/>
          <w:szCs w:val="24"/>
        </w:rPr>
        <w:t xml:space="preserve">projected </w:t>
      </w:r>
      <w:r w:rsidR="008B1D8F" w:rsidRPr="00B1350E">
        <w:rPr>
          <w:rFonts w:ascii="Arial" w:hAnsi="Arial" w:cs="Arial"/>
          <w:sz w:val="24"/>
          <w:szCs w:val="24"/>
        </w:rPr>
        <w:t xml:space="preserve">sequence of change in a </w:t>
      </w:r>
      <w:r w:rsidRPr="00B1350E">
        <w:rPr>
          <w:rFonts w:ascii="Arial" w:hAnsi="Arial" w:cs="Arial"/>
          <w:sz w:val="24"/>
          <w:szCs w:val="24"/>
        </w:rPr>
        <w:t xml:space="preserve">frequently non-linear </w:t>
      </w:r>
      <w:r w:rsidR="0035669A" w:rsidRPr="00B1350E">
        <w:rPr>
          <w:rFonts w:ascii="Arial" w:hAnsi="Arial" w:cs="Arial"/>
          <w:sz w:val="24"/>
          <w:szCs w:val="24"/>
        </w:rPr>
        <w:t>world</w:t>
      </w:r>
      <w:r w:rsidR="008B1D8F" w:rsidRPr="00B1350E">
        <w:rPr>
          <w:rFonts w:ascii="Arial" w:hAnsi="Arial" w:cs="Arial"/>
          <w:sz w:val="24"/>
          <w:szCs w:val="24"/>
        </w:rPr>
        <w:t xml:space="preserve">. </w:t>
      </w:r>
      <w:r w:rsidR="0035669A" w:rsidRPr="00B1350E">
        <w:rPr>
          <w:rFonts w:ascii="Arial" w:hAnsi="Arial" w:cs="Arial"/>
          <w:sz w:val="24"/>
          <w:szCs w:val="24"/>
        </w:rPr>
        <w:t xml:space="preserve"> </w:t>
      </w:r>
      <w:r w:rsidR="008B1D8F" w:rsidRPr="00B1350E">
        <w:rPr>
          <w:rFonts w:ascii="Arial" w:hAnsi="Arial" w:cs="Arial"/>
          <w:sz w:val="24"/>
          <w:szCs w:val="24"/>
        </w:rPr>
        <w:t xml:space="preserve">Second, the model does not test </w:t>
      </w:r>
      <w:r w:rsidR="000D7B11" w:rsidRPr="00B1350E">
        <w:rPr>
          <w:rFonts w:ascii="Arial" w:hAnsi="Arial" w:cs="Arial"/>
          <w:sz w:val="24"/>
          <w:szCs w:val="24"/>
        </w:rPr>
        <w:t>alternative explanations or contradictions</w:t>
      </w:r>
      <w:r w:rsidR="008B1D8F" w:rsidRPr="00B1350E">
        <w:rPr>
          <w:rFonts w:ascii="Arial" w:hAnsi="Arial" w:cs="Arial"/>
          <w:sz w:val="24"/>
          <w:szCs w:val="24"/>
        </w:rPr>
        <w:t xml:space="preserve">.  At best, it recognizes </w:t>
      </w:r>
      <w:r w:rsidR="000D7B11" w:rsidRPr="00B1350E">
        <w:rPr>
          <w:rFonts w:ascii="Arial" w:hAnsi="Arial" w:cs="Arial"/>
          <w:sz w:val="24"/>
          <w:szCs w:val="24"/>
        </w:rPr>
        <w:t xml:space="preserve">external </w:t>
      </w:r>
      <w:r w:rsidR="008B1D8F" w:rsidRPr="00B1350E">
        <w:rPr>
          <w:rFonts w:ascii="Arial" w:hAnsi="Arial" w:cs="Arial"/>
          <w:sz w:val="24"/>
          <w:szCs w:val="24"/>
        </w:rPr>
        <w:t xml:space="preserve">influences.  Third, </w:t>
      </w:r>
      <w:r w:rsidR="000D7B11" w:rsidRPr="00B1350E">
        <w:rPr>
          <w:rFonts w:ascii="Arial" w:hAnsi="Arial" w:cs="Arial"/>
          <w:sz w:val="24"/>
          <w:szCs w:val="24"/>
        </w:rPr>
        <w:t>in practice</w:t>
      </w:r>
      <w:r w:rsidR="008B1D8F" w:rsidRPr="00B1350E">
        <w:rPr>
          <w:rFonts w:ascii="Arial" w:hAnsi="Arial" w:cs="Arial"/>
          <w:sz w:val="24"/>
          <w:szCs w:val="24"/>
        </w:rPr>
        <w:t xml:space="preserve"> the model generally list</w:t>
      </w:r>
      <w:r w:rsidRPr="00B1350E">
        <w:rPr>
          <w:rFonts w:ascii="Arial" w:hAnsi="Arial" w:cs="Arial"/>
          <w:sz w:val="24"/>
          <w:szCs w:val="24"/>
        </w:rPr>
        <w:t>s</w:t>
      </w:r>
      <w:r w:rsidR="008B1D8F" w:rsidRPr="00B1350E">
        <w:rPr>
          <w:rFonts w:ascii="Arial" w:hAnsi="Arial" w:cs="Arial"/>
          <w:sz w:val="24"/>
          <w:szCs w:val="24"/>
        </w:rPr>
        <w:t xml:space="preserve"> </w:t>
      </w:r>
      <w:r w:rsidR="008B1D8F" w:rsidRPr="00B1350E">
        <w:rPr>
          <w:rFonts w:ascii="Arial" w:hAnsi="Arial" w:cs="Arial"/>
          <w:i/>
          <w:sz w:val="24"/>
          <w:szCs w:val="24"/>
        </w:rPr>
        <w:t>arrays</w:t>
      </w:r>
      <w:r w:rsidR="008B1D8F" w:rsidRPr="00B1350E">
        <w:rPr>
          <w:rFonts w:ascii="Arial" w:hAnsi="Arial" w:cs="Arial"/>
          <w:sz w:val="24"/>
          <w:szCs w:val="24"/>
        </w:rPr>
        <w:t xml:space="preserve"> of </w:t>
      </w:r>
      <w:r w:rsidR="000D7B11" w:rsidRPr="00B1350E">
        <w:rPr>
          <w:rFonts w:ascii="Arial" w:hAnsi="Arial" w:cs="Arial"/>
          <w:sz w:val="24"/>
          <w:szCs w:val="24"/>
        </w:rPr>
        <w:t xml:space="preserve">potentially causal </w:t>
      </w:r>
      <w:r w:rsidR="008B1D8F" w:rsidRPr="00B1350E">
        <w:rPr>
          <w:rFonts w:ascii="Arial" w:hAnsi="Arial" w:cs="Arial"/>
          <w:sz w:val="24"/>
          <w:szCs w:val="24"/>
        </w:rPr>
        <w:t>items under the various headings (inputs, activities, outputs, outcomes</w:t>
      </w:r>
      <w:r w:rsidR="000D7B11" w:rsidRPr="00B1350E">
        <w:rPr>
          <w:rFonts w:ascii="Arial" w:hAnsi="Arial" w:cs="Arial"/>
          <w:sz w:val="24"/>
          <w:szCs w:val="24"/>
        </w:rPr>
        <w:t>,</w:t>
      </w:r>
      <w:r w:rsidR="008B1D8F" w:rsidRPr="00B1350E">
        <w:rPr>
          <w:rFonts w:ascii="Arial" w:hAnsi="Arial" w:cs="Arial"/>
          <w:sz w:val="24"/>
          <w:szCs w:val="24"/>
        </w:rPr>
        <w:t xml:space="preserve"> and impacts), complicating both </w:t>
      </w:r>
      <w:r w:rsidR="000D7B11" w:rsidRPr="00B1350E">
        <w:rPr>
          <w:rFonts w:ascii="Arial" w:hAnsi="Arial" w:cs="Arial"/>
          <w:sz w:val="24"/>
          <w:szCs w:val="24"/>
        </w:rPr>
        <w:t>theoretical</w:t>
      </w:r>
      <w:r w:rsidRPr="00B1350E">
        <w:rPr>
          <w:rFonts w:ascii="Arial" w:hAnsi="Arial" w:cs="Arial"/>
          <w:sz w:val="24"/>
          <w:szCs w:val="24"/>
        </w:rPr>
        <w:t xml:space="preserve"> program</w:t>
      </w:r>
      <w:r w:rsidR="008B1D8F" w:rsidRPr="00B1350E">
        <w:rPr>
          <w:rFonts w:ascii="Arial" w:hAnsi="Arial" w:cs="Arial"/>
          <w:sz w:val="24"/>
          <w:szCs w:val="24"/>
        </w:rPr>
        <w:t xml:space="preserve"> logic and </w:t>
      </w:r>
      <w:r w:rsidRPr="00B1350E">
        <w:rPr>
          <w:rFonts w:ascii="Arial" w:hAnsi="Arial" w:cs="Arial"/>
          <w:sz w:val="24"/>
          <w:szCs w:val="24"/>
        </w:rPr>
        <w:t xml:space="preserve">its </w:t>
      </w:r>
      <w:r w:rsidR="008B1D8F" w:rsidRPr="00B1350E">
        <w:rPr>
          <w:rFonts w:ascii="Arial" w:hAnsi="Arial" w:cs="Arial"/>
          <w:sz w:val="24"/>
          <w:szCs w:val="24"/>
        </w:rPr>
        <w:t xml:space="preserve">subsequent assessment.  </w:t>
      </w:r>
      <w:r w:rsidR="000D7B11" w:rsidRPr="00B1350E">
        <w:rPr>
          <w:rFonts w:ascii="Arial" w:hAnsi="Arial" w:cs="Arial"/>
          <w:sz w:val="24"/>
          <w:szCs w:val="24"/>
        </w:rPr>
        <w:t>F</w:t>
      </w:r>
      <w:r w:rsidR="008B1D8F" w:rsidRPr="00B1350E">
        <w:rPr>
          <w:rFonts w:ascii="Arial" w:hAnsi="Arial" w:cs="Arial"/>
          <w:sz w:val="24"/>
          <w:szCs w:val="24"/>
        </w:rPr>
        <w:t>ourth, the model presumes objectivity</w:t>
      </w:r>
      <w:r w:rsidRPr="00B1350E">
        <w:rPr>
          <w:rFonts w:ascii="Arial" w:hAnsi="Arial" w:cs="Arial"/>
          <w:sz w:val="24"/>
          <w:szCs w:val="24"/>
        </w:rPr>
        <w:t>, but</w:t>
      </w:r>
      <w:r w:rsidR="008B1D8F" w:rsidRPr="00B1350E">
        <w:rPr>
          <w:rFonts w:ascii="Arial" w:hAnsi="Arial" w:cs="Arial"/>
          <w:sz w:val="24"/>
          <w:szCs w:val="24"/>
        </w:rPr>
        <w:t xml:space="preserve"> programs are </w:t>
      </w:r>
      <w:r w:rsidRPr="00B1350E">
        <w:rPr>
          <w:rFonts w:ascii="Arial" w:hAnsi="Arial" w:cs="Arial"/>
          <w:sz w:val="24"/>
          <w:szCs w:val="24"/>
        </w:rPr>
        <w:t xml:space="preserve">often </w:t>
      </w:r>
      <w:r w:rsidR="008B1D8F" w:rsidRPr="00B1350E">
        <w:rPr>
          <w:rFonts w:ascii="Arial" w:hAnsi="Arial" w:cs="Arial"/>
          <w:sz w:val="24"/>
          <w:szCs w:val="24"/>
        </w:rPr>
        <w:t xml:space="preserve">created and implemented through processes requiring </w:t>
      </w:r>
      <w:r w:rsidR="00A96DF5" w:rsidRPr="00B1350E">
        <w:rPr>
          <w:rFonts w:ascii="Arial" w:hAnsi="Arial" w:cs="Arial"/>
          <w:sz w:val="24"/>
          <w:szCs w:val="24"/>
        </w:rPr>
        <w:t xml:space="preserve">political </w:t>
      </w:r>
      <w:r w:rsidR="004B764F" w:rsidRPr="00B1350E">
        <w:rPr>
          <w:rFonts w:ascii="Arial" w:hAnsi="Arial" w:cs="Arial"/>
          <w:sz w:val="24"/>
          <w:szCs w:val="24"/>
        </w:rPr>
        <w:t>compromise among</w:t>
      </w:r>
      <w:r w:rsidR="008B1D8F" w:rsidRPr="00B1350E">
        <w:rPr>
          <w:rFonts w:ascii="Arial" w:hAnsi="Arial" w:cs="Arial"/>
          <w:sz w:val="24"/>
          <w:szCs w:val="24"/>
        </w:rPr>
        <w:t xml:space="preserve"> individuals with different </w:t>
      </w:r>
      <w:r w:rsidR="00D23226" w:rsidRPr="00B1350E">
        <w:rPr>
          <w:rFonts w:ascii="Arial" w:hAnsi="Arial" w:cs="Arial"/>
          <w:sz w:val="24"/>
          <w:szCs w:val="24"/>
        </w:rPr>
        <w:t xml:space="preserve">ideological </w:t>
      </w:r>
      <w:r w:rsidR="008B1D8F" w:rsidRPr="00B1350E">
        <w:rPr>
          <w:rFonts w:ascii="Arial" w:hAnsi="Arial" w:cs="Arial"/>
          <w:sz w:val="24"/>
          <w:szCs w:val="24"/>
        </w:rPr>
        <w:t>perspectives, interests</w:t>
      </w:r>
      <w:r w:rsidR="000D7B11" w:rsidRPr="00B1350E">
        <w:rPr>
          <w:rFonts w:ascii="Arial" w:hAnsi="Arial" w:cs="Arial"/>
          <w:sz w:val="24"/>
          <w:szCs w:val="24"/>
        </w:rPr>
        <w:t>,</w:t>
      </w:r>
      <w:r w:rsidR="008B1D8F" w:rsidRPr="00B1350E">
        <w:rPr>
          <w:rFonts w:ascii="Arial" w:hAnsi="Arial" w:cs="Arial"/>
          <w:sz w:val="24"/>
          <w:szCs w:val="24"/>
        </w:rPr>
        <w:t xml:space="preserve"> and influence</w:t>
      </w:r>
      <w:r w:rsidR="0035669A" w:rsidRPr="00B1350E">
        <w:rPr>
          <w:rFonts w:ascii="Arial" w:hAnsi="Arial" w:cs="Arial"/>
          <w:sz w:val="24"/>
          <w:szCs w:val="24"/>
        </w:rPr>
        <w:t>,</w:t>
      </w:r>
      <w:r w:rsidR="00A96DF5" w:rsidRPr="00B1350E">
        <w:rPr>
          <w:rFonts w:ascii="Arial" w:hAnsi="Arial" w:cs="Arial"/>
          <w:sz w:val="24"/>
          <w:szCs w:val="24"/>
        </w:rPr>
        <w:t xml:space="preserve"> </w:t>
      </w:r>
      <w:r w:rsidR="00D402B1" w:rsidRPr="00B1350E">
        <w:rPr>
          <w:rFonts w:ascii="Arial" w:hAnsi="Arial" w:cs="Arial"/>
          <w:sz w:val="24"/>
          <w:szCs w:val="24"/>
        </w:rPr>
        <w:t xml:space="preserve">situated </w:t>
      </w:r>
      <w:r w:rsidR="00D23226" w:rsidRPr="00B1350E">
        <w:rPr>
          <w:rFonts w:ascii="Arial" w:hAnsi="Arial" w:cs="Arial"/>
          <w:sz w:val="24"/>
          <w:szCs w:val="24"/>
        </w:rPr>
        <w:t xml:space="preserve">across different institutional settings </w:t>
      </w:r>
      <w:r w:rsidR="00A96DF5" w:rsidRPr="00B1350E">
        <w:rPr>
          <w:rFonts w:ascii="Arial" w:hAnsi="Arial" w:cs="Arial"/>
          <w:sz w:val="24"/>
          <w:szCs w:val="24"/>
        </w:rPr>
        <w:t>(Weiss, 1995)</w:t>
      </w:r>
      <w:r w:rsidR="008B1D8F" w:rsidRPr="00B1350E">
        <w:rPr>
          <w:rFonts w:ascii="Arial" w:hAnsi="Arial" w:cs="Arial"/>
          <w:sz w:val="24"/>
          <w:szCs w:val="24"/>
        </w:rPr>
        <w:t>.</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Despite </w:t>
      </w:r>
      <w:r w:rsidR="00207A69" w:rsidRPr="00B1350E">
        <w:rPr>
          <w:rFonts w:ascii="Arial" w:hAnsi="Arial" w:cs="Arial"/>
          <w:sz w:val="24"/>
          <w:szCs w:val="24"/>
        </w:rPr>
        <w:t xml:space="preserve">its </w:t>
      </w:r>
      <w:r w:rsidRPr="00B1350E">
        <w:rPr>
          <w:rFonts w:ascii="Arial" w:hAnsi="Arial" w:cs="Arial"/>
          <w:sz w:val="24"/>
          <w:szCs w:val="24"/>
        </w:rPr>
        <w:t xml:space="preserve">weaknesses, the logic model remains </w:t>
      </w:r>
      <w:r w:rsidR="00D23226" w:rsidRPr="00B1350E">
        <w:rPr>
          <w:rFonts w:ascii="Arial" w:hAnsi="Arial" w:cs="Arial"/>
          <w:sz w:val="24"/>
          <w:szCs w:val="24"/>
        </w:rPr>
        <w:t xml:space="preserve">highly </w:t>
      </w:r>
      <w:r w:rsidR="002902F1" w:rsidRPr="00B1350E">
        <w:rPr>
          <w:rFonts w:ascii="Arial" w:hAnsi="Arial" w:cs="Arial"/>
          <w:sz w:val="24"/>
          <w:szCs w:val="24"/>
        </w:rPr>
        <w:t>recommended and applied</w:t>
      </w:r>
      <w:r w:rsidRPr="00B1350E">
        <w:rPr>
          <w:rFonts w:ascii="Arial" w:hAnsi="Arial" w:cs="Arial"/>
          <w:sz w:val="24"/>
          <w:szCs w:val="24"/>
        </w:rPr>
        <w:t xml:space="preserve"> in the </w:t>
      </w:r>
      <w:r w:rsidR="000D7B11" w:rsidRPr="00B1350E">
        <w:rPr>
          <w:rFonts w:ascii="Arial" w:hAnsi="Arial" w:cs="Arial"/>
          <w:sz w:val="24"/>
          <w:szCs w:val="24"/>
        </w:rPr>
        <w:t xml:space="preserve">US </w:t>
      </w:r>
      <w:r w:rsidRPr="00B1350E">
        <w:rPr>
          <w:rFonts w:ascii="Arial" w:hAnsi="Arial" w:cs="Arial"/>
          <w:sz w:val="24"/>
          <w:szCs w:val="24"/>
        </w:rPr>
        <w:t xml:space="preserve">government and </w:t>
      </w:r>
      <w:r w:rsidR="006759E4" w:rsidRPr="00B1350E">
        <w:rPr>
          <w:rFonts w:ascii="Arial" w:hAnsi="Arial" w:cs="Arial"/>
          <w:sz w:val="24"/>
          <w:szCs w:val="24"/>
        </w:rPr>
        <w:t>elsewhere.</w:t>
      </w:r>
      <w:r w:rsidR="0035669A" w:rsidRPr="00B1350E">
        <w:rPr>
          <w:rFonts w:ascii="Arial" w:hAnsi="Arial" w:cs="Arial"/>
          <w:sz w:val="24"/>
          <w:szCs w:val="24"/>
        </w:rPr>
        <w:t xml:space="preserve"> </w:t>
      </w:r>
      <w:r w:rsidR="006759E4" w:rsidRPr="00B1350E">
        <w:rPr>
          <w:rFonts w:ascii="Arial" w:hAnsi="Arial" w:cs="Arial"/>
          <w:sz w:val="24"/>
          <w:szCs w:val="24"/>
        </w:rPr>
        <w:t xml:space="preserve"> Its</w:t>
      </w:r>
      <w:r w:rsidRPr="00B1350E">
        <w:rPr>
          <w:rFonts w:ascii="Arial" w:hAnsi="Arial" w:cs="Arial"/>
          <w:sz w:val="24"/>
          <w:szCs w:val="24"/>
        </w:rPr>
        <w:t xml:space="preserve"> terms </w:t>
      </w:r>
      <w:r w:rsidR="000D7B11" w:rsidRPr="00B1350E">
        <w:rPr>
          <w:rFonts w:ascii="Arial" w:hAnsi="Arial" w:cs="Arial"/>
          <w:sz w:val="24"/>
          <w:szCs w:val="24"/>
        </w:rPr>
        <w:t xml:space="preserve">have become </w:t>
      </w:r>
      <w:r w:rsidRPr="00B1350E">
        <w:rPr>
          <w:rFonts w:ascii="Arial" w:hAnsi="Arial" w:cs="Arial"/>
          <w:sz w:val="24"/>
          <w:szCs w:val="24"/>
        </w:rPr>
        <w:t>part of the vernacular</w:t>
      </w:r>
      <w:r w:rsidR="00BD090B" w:rsidRPr="00B1350E">
        <w:rPr>
          <w:rFonts w:ascii="Arial" w:hAnsi="Arial" w:cs="Arial"/>
          <w:sz w:val="24"/>
          <w:szCs w:val="24"/>
        </w:rPr>
        <w:t xml:space="preserve"> </w:t>
      </w:r>
      <w:r w:rsidR="00207A69" w:rsidRPr="00B1350E">
        <w:rPr>
          <w:rFonts w:ascii="Arial" w:hAnsi="Arial" w:cs="Arial"/>
          <w:sz w:val="24"/>
          <w:szCs w:val="24"/>
        </w:rPr>
        <w:t xml:space="preserve">of global </w:t>
      </w:r>
      <w:r w:rsidR="00BD090B" w:rsidRPr="00B1350E">
        <w:rPr>
          <w:rFonts w:ascii="Arial" w:hAnsi="Arial" w:cs="Arial"/>
          <w:sz w:val="24"/>
          <w:szCs w:val="24"/>
        </w:rPr>
        <w:t>public administration</w:t>
      </w:r>
      <w:r w:rsidR="004B764F" w:rsidRPr="00B1350E">
        <w:rPr>
          <w:rFonts w:ascii="Arial" w:hAnsi="Arial" w:cs="Arial"/>
          <w:sz w:val="24"/>
          <w:szCs w:val="24"/>
        </w:rPr>
        <w:t>.</w:t>
      </w:r>
      <w:r w:rsidRPr="00B1350E">
        <w:rPr>
          <w:rFonts w:ascii="Arial" w:hAnsi="Arial" w:cs="Arial"/>
          <w:sz w:val="24"/>
          <w:szCs w:val="24"/>
        </w:rPr>
        <w:t xml:space="preserve">  While many evaluators grumble openly about the model’s limits, no cohesive alternative </w:t>
      </w:r>
      <w:r w:rsidR="0035669A" w:rsidRPr="00B1350E">
        <w:rPr>
          <w:rFonts w:ascii="Arial" w:hAnsi="Arial" w:cs="Arial"/>
          <w:sz w:val="24"/>
          <w:szCs w:val="24"/>
        </w:rPr>
        <w:t>replaced it</w:t>
      </w:r>
      <w:r w:rsidRPr="00B1350E">
        <w:rPr>
          <w:rFonts w:ascii="Arial" w:hAnsi="Arial" w:cs="Arial"/>
          <w:sz w:val="24"/>
          <w:szCs w:val="24"/>
        </w:rPr>
        <w:t xml:space="preserve">.  A group of evaluation theorists and practitioners, </w:t>
      </w:r>
      <w:r w:rsidR="000D7B11" w:rsidRPr="00B1350E">
        <w:rPr>
          <w:rFonts w:ascii="Arial" w:hAnsi="Arial" w:cs="Arial"/>
          <w:sz w:val="24"/>
          <w:szCs w:val="24"/>
        </w:rPr>
        <w:t xml:space="preserve">many </w:t>
      </w:r>
      <w:r w:rsidRPr="00B1350E">
        <w:rPr>
          <w:rFonts w:ascii="Arial" w:hAnsi="Arial" w:cs="Arial"/>
          <w:sz w:val="24"/>
          <w:szCs w:val="24"/>
        </w:rPr>
        <w:t xml:space="preserve">affiliated with the Systems Thinking Topical Interest Group in the American Evaluation Association, has begun to </w:t>
      </w:r>
      <w:r w:rsidR="00207A69" w:rsidRPr="00B1350E">
        <w:rPr>
          <w:rFonts w:ascii="Arial" w:hAnsi="Arial" w:cs="Arial"/>
          <w:sz w:val="24"/>
          <w:szCs w:val="24"/>
        </w:rPr>
        <w:t>seed a</w:t>
      </w:r>
      <w:r w:rsidR="0035669A" w:rsidRPr="00B1350E">
        <w:rPr>
          <w:rFonts w:ascii="Arial" w:hAnsi="Arial" w:cs="Arial"/>
          <w:sz w:val="24"/>
          <w:szCs w:val="24"/>
        </w:rPr>
        <w:t xml:space="preserve">n </w:t>
      </w:r>
      <w:r w:rsidR="00207A69" w:rsidRPr="00B1350E">
        <w:rPr>
          <w:rFonts w:ascii="Arial" w:hAnsi="Arial" w:cs="Arial"/>
          <w:sz w:val="24"/>
          <w:szCs w:val="24"/>
        </w:rPr>
        <w:t>alternative</w:t>
      </w:r>
      <w:r w:rsidRPr="00B1350E">
        <w:rPr>
          <w:rFonts w:ascii="Arial" w:hAnsi="Arial" w:cs="Arial"/>
          <w:sz w:val="24"/>
          <w:szCs w:val="24"/>
        </w:rPr>
        <w:t xml:space="preserve"> (see, </w:t>
      </w:r>
      <w:r w:rsidR="00207A69" w:rsidRPr="00B1350E">
        <w:rPr>
          <w:rFonts w:ascii="Arial" w:hAnsi="Arial" w:cs="Arial"/>
          <w:sz w:val="24"/>
          <w:szCs w:val="24"/>
        </w:rPr>
        <w:t>e.g.</w:t>
      </w:r>
      <w:r w:rsidRPr="00B1350E">
        <w:rPr>
          <w:rFonts w:ascii="Arial" w:hAnsi="Arial" w:cs="Arial"/>
          <w:sz w:val="24"/>
          <w:szCs w:val="24"/>
        </w:rPr>
        <w:t xml:space="preserve">, Rogers, </w:t>
      </w:r>
      <w:r w:rsidRPr="00B1350E">
        <w:rPr>
          <w:rFonts w:ascii="Arial" w:hAnsi="Arial" w:cs="Arial"/>
          <w:sz w:val="24"/>
          <w:szCs w:val="24"/>
        </w:rPr>
        <w:lastRenderedPageBreak/>
        <w:t xml:space="preserve">2008 and 2010).  </w:t>
      </w:r>
      <w:r w:rsidR="00207A69" w:rsidRPr="00B1350E">
        <w:rPr>
          <w:rFonts w:ascii="Arial" w:hAnsi="Arial" w:cs="Arial"/>
          <w:sz w:val="24"/>
          <w:szCs w:val="24"/>
        </w:rPr>
        <w:t>C</w:t>
      </w:r>
      <w:r w:rsidRPr="00B1350E">
        <w:rPr>
          <w:rFonts w:ascii="Arial" w:hAnsi="Arial" w:cs="Arial"/>
          <w:sz w:val="24"/>
          <w:szCs w:val="24"/>
        </w:rPr>
        <w:t xml:space="preserve">urrent social </w:t>
      </w:r>
      <w:r w:rsidR="000D7B11" w:rsidRPr="00B1350E">
        <w:rPr>
          <w:rFonts w:ascii="Arial" w:hAnsi="Arial" w:cs="Arial"/>
          <w:sz w:val="24"/>
          <w:szCs w:val="24"/>
        </w:rPr>
        <w:t xml:space="preserve">science </w:t>
      </w:r>
      <w:r w:rsidRPr="00B1350E">
        <w:rPr>
          <w:rFonts w:ascii="Arial" w:hAnsi="Arial" w:cs="Arial"/>
          <w:sz w:val="24"/>
          <w:szCs w:val="24"/>
        </w:rPr>
        <w:t>discussions surrounding complexity theory</w:t>
      </w:r>
      <w:r w:rsidR="00207A69" w:rsidRPr="00B1350E">
        <w:rPr>
          <w:rFonts w:ascii="Arial" w:hAnsi="Arial" w:cs="Arial"/>
          <w:sz w:val="24"/>
          <w:szCs w:val="24"/>
        </w:rPr>
        <w:t xml:space="preserve"> </w:t>
      </w:r>
      <w:r w:rsidR="000D7B11" w:rsidRPr="00B1350E">
        <w:rPr>
          <w:rFonts w:ascii="Arial" w:hAnsi="Arial" w:cs="Arial"/>
          <w:sz w:val="24"/>
          <w:szCs w:val="24"/>
        </w:rPr>
        <w:t>are moving</w:t>
      </w:r>
      <w:r w:rsidRPr="00B1350E">
        <w:rPr>
          <w:rFonts w:ascii="Arial" w:hAnsi="Arial" w:cs="Arial"/>
          <w:sz w:val="24"/>
          <w:szCs w:val="24"/>
        </w:rPr>
        <w:t xml:space="preserve"> away from the mechanistic features of the logic model and towards more </w:t>
      </w:r>
      <w:r w:rsidR="000D7B11" w:rsidRPr="00B1350E">
        <w:rPr>
          <w:rFonts w:ascii="Arial" w:hAnsi="Arial" w:cs="Arial"/>
          <w:sz w:val="24"/>
          <w:szCs w:val="24"/>
        </w:rPr>
        <w:t xml:space="preserve">subtle </w:t>
      </w:r>
      <w:r w:rsidRPr="00B1350E">
        <w:rPr>
          <w:rFonts w:ascii="Arial" w:hAnsi="Arial" w:cs="Arial"/>
          <w:sz w:val="24"/>
          <w:szCs w:val="24"/>
        </w:rPr>
        <w:t xml:space="preserve">interweaving of program dynamics within a larger </w:t>
      </w:r>
      <w:r w:rsidR="00054360" w:rsidRPr="00B1350E">
        <w:rPr>
          <w:rFonts w:ascii="Arial" w:hAnsi="Arial" w:cs="Arial"/>
          <w:sz w:val="24"/>
          <w:szCs w:val="24"/>
        </w:rPr>
        <w:t>environment</w:t>
      </w:r>
      <w:r w:rsidR="001E0D28" w:rsidRPr="00B1350E">
        <w:rPr>
          <w:rFonts w:ascii="Arial" w:hAnsi="Arial" w:cs="Arial"/>
          <w:sz w:val="24"/>
          <w:szCs w:val="24"/>
        </w:rPr>
        <w:t xml:space="preserve"> </w:t>
      </w:r>
      <w:r w:rsidR="0035669A" w:rsidRPr="00B1350E">
        <w:rPr>
          <w:rFonts w:ascii="Arial" w:hAnsi="Arial" w:cs="Arial"/>
          <w:sz w:val="24"/>
          <w:szCs w:val="24"/>
        </w:rPr>
        <w:t xml:space="preserve">and embracing </w:t>
      </w:r>
      <w:r w:rsidR="001E0D28" w:rsidRPr="00B1350E">
        <w:rPr>
          <w:rFonts w:ascii="Arial" w:hAnsi="Arial" w:cs="Arial"/>
          <w:sz w:val="24"/>
          <w:szCs w:val="24"/>
        </w:rPr>
        <w:t>complexity theories</w:t>
      </w:r>
      <w:r w:rsidR="0035669A" w:rsidRPr="00B1350E">
        <w:rPr>
          <w:rFonts w:ascii="Arial" w:hAnsi="Arial" w:cs="Arial"/>
          <w:sz w:val="24"/>
          <w:szCs w:val="24"/>
        </w:rPr>
        <w:t>.</w:t>
      </w:r>
      <w:r w:rsidRPr="00B1350E">
        <w:rPr>
          <w:rFonts w:ascii="Arial" w:hAnsi="Arial" w:cs="Arial"/>
          <w:sz w:val="24"/>
          <w:szCs w:val="24"/>
        </w:rPr>
        <w:t xml:space="preserve">  For instance Patton (2011) has introduced a framework </w:t>
      </w:r>
      <w:r w:rsidR="00944E10" w:rsidRPr="00B1350E">
        <w:rPr>
          <w:rFonts w:ascii="Arial" w:hAnsi="Arial" w:cs="Arial"/>
          <w:sz w:val="24"/>
          <w:szCs w:val="24"/>
        </w:rPr>
        <w:t>for</w:t>
      </w:r>
      <w:r w:rsidRPr="00B1350E">
        <w:rPr>
          <w:rFonts w:ascii="Arial" w:hAnsi="Arial" w:cs="Arial"/>
          <w:sz w:val="24"/>
          <w:szCs w:val="24"/>
        </w:rPr>
        <w:t xml:space="preserve"> logic mapping using non-linear interactions at individual, organizational</w:t>
      </w:r>
      <w:r w:rsidR="00054360" w:rsidRPr="00B1350E">
        <w:rPr>
          <w:rFonts w:ascii="Arial" w:hAnsi="Arial" w:cs="Arial"/>
          <w:sz w:val="24"/>
          <w:szCs w:val="24"/>
        </w:rPr>
        <w:t>,</w:t>
      </w:r>
      <w:r w:rsidRPr="00B1350E">
        <w:rPr>
          <w:rFonts w:ascii="Arial" w:hAnsi="Arial" w:cs="Arial"/>
          <w:sz w:val="24"/>
          <w:szCs w:val="24"/>
        </w:rPr>
        <w:t xml:space="preserve"> and societal levels.  </w:t>
      </w:r>
    </w:p>
    <w:p w:rsidR="00B37187" w:rsidRPr="00B37187" w:rsidRDefault="00944E10"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T</w:t>
      </w:r>
      <w:r w:rsidR="008B1D8F" w:rsidRPr="00B1350E">
        <w:rPr>
          <w:rFonts w:ascii="Arial" w:hAnsi="Arial" w:cs="Arial"/>
          <w:sz w:val="24"/>
          <w:szCs w:val="24"/>
        </w:rPr>
        <w:t>wo limits of the</w:t>
      </w:r>
      <w:r w:rsidR="00E31447" w:rsidRPr="00B1350E">
        <w:rPr>
          <w:rFonts w:ascii="Arial" w:hAnsi="Arial" w:cs="Arial"/>
          <w:sz w:val="24"/>
          <w:szCs w:val="24"/>
        </w:rPr>
        <w:t xml:space="preserve"> </w:t>
      </w:r>
      <w:r w:rsidR="008B1D8F" w:rsidRPr="00B1350E">
        <w:rPr>
          <w:rFonts w:ascii="Arial" w:hAnsi="Arial" w:cs="Arial"/>
          <w:sz w:val="24"/>
          <w:szCs w:val="24"/>
        </w:rPr>
        <w:t>logic model are significant</w:t>
      </w:r>
      <w:r w:rsidRPr="00B1350E">
        <w:rPr>
          <w:rFonts w:ascii="Arial" w:hAnsi="Arial" w:cs="Arial"/>
          <w:sz w:val="24"/>
          <w:szCs w:val="24"/>
        </w:rPr>
        <w:t xml:space="preserve"> for this paper</w:t>
      </w:r>
      <w:r w:rsidR="008B1D8F" w:rsidRPr="00B1350E">
        <w:rPr>
          <w:rFonts w:ascii="Arial" w:hAnsi="Arial" w:cs="Arial"/>
          <w:sz w:val="24"/>
          <w:szCs w:val="24"/>
        </w:rPr>
        <w:t xml:space="preserve">.  First, </w:t>
      </w:r>
      <w:r w:rsidR="00E31447" w:rsidRPr="00B1350E">
        <w:rPr>
          <w:rFonts w:ascii="Arial" w:hAnsi="Arial" w:cs="Arial"/>
          <w:sz w:val="24"/>
          <w:szCs w:val="24"/>
        </w:rPr>
        <w:t xml:space="preserve">the societal </w:t>
      </w:r>
      <w:r w:rsidR="009D291F" w:rsidRPr="00B1350E">
        <w:rPr>
          <w:rFonts w:ascii="Arial" w:hAnsi="Arial" w:cs="Arial"/>
          <w:sz w:val="24"/>
          <w:szCs w:val="24"/>
        </w:rPr>
        <w:t>impact of most public programs is</w:t>
      </w:r>
      <w:r w:rsidR="008B1D8F" w:rsidRPr="00B1350E">
        <w:rPr>
          <w:rFonts w:ascii="Arial" w:hAnsi="Arial" w:cs="Arial"/>
          <w:sz w:val="24"/>
          <w:szCs w:val="24"/>
        </w:rPr>
        <w:t xml:space="preserve"> due to non-linear “tipping points” (</w:t>
      </w:r>
      <w:r w:rsidR="000234DD">
        <w:rPr>
          <w:rFonts w:ascii="Arial" w:hAnsi="Arial" w:cs="Arial"/>
          <w:sz w:val="24"/>
          <w:szCs w:val="24"/>
        </w:rPr>
        <w:t xml:space="preserve">Schelling, 1971; </w:t>
      </w:r>
      <w:r w:rsidR="008B1D8F" w:rsidRPr="00B1350E">
        <w:rPr>
          <w:rFonts w:ascii="Arial" w:hAnsi="Arial" w:cs="Arial"/>
          <w:sz w:val="24"/>
          <w:szCs w:val="24"/>
        </w:rPr>
        <w:t>Gladwell, 2000). These arise when individuals act based on the</w:t>
      </w:r>
      <w:r w:rsidR="0035669A" w:rsidRPr="00B1350E">
        <w:rPr>
          <w:rFonts w:ascii="Arial" w:hAnsi="Arial" w:cs="Arial"/>
          <w:sz w:val="24"/>
          <w:szCs w:val="24"/>
        </w:rPr>
        <w:t>ir perception</w:t>
      </w:r>
      <w:r w:rsidR="009E37EE">
        <w:rPr>
          <w:rFonts w:ascii="Arial" w:hAnsi="Arial" w:cs="Arial"/>
          <w:sz w:val="24"/>
          <w:szCs w:val="24"/>
        </w:rPr>
        <w:t>s</w:t>
      </w:r>
      <w:r w:rsidR="0035669A" w:rsidRPr="00B1350E">
        <w:rPr>
          <w:rFonts w:ascii="Arial" w:hAnsi="Arial" w:cs="Arial"/>
          <w:sz w:val="24"/>
          <w:szCs w:val="24"/>
        </w:rPr>
        <w:t xml:space="preserve"> of others’ experiences</w:t>
      </w:r>
      <w:r w:rsidR="008B1D8F" w:rsidRPr="00B1350E">
        <w:rPr>
          <w:rFonts w:ascii="Arial" w:hAnsi="Arial" w:cs="Arial"/>
          <w:sz w:val="24"/>
          <w:szCs w:val="24"/>
        </w:rPr>
        <w:t>.  As ideas gain traction among a segment, they reach a tipping point where others become increasingly willing to adopt the notion</w:t>
      </w:r>
      <w:r w:rsidR="00E2011E" w:rsidRPr="00B1350E">
        <w:rPr>
          <w:rFonts w:ascii="Arial" w:hAnsi="Arial" w:cs="Arial"/>
          <w:sz w:val="24"/>
          <w:szCs w:val="24"/>
        </w:rPr>
        <w:t xml:space="preserve">.  </w:t>
      </w:r>
      <w:r w:rsidRPr="00B1350E">
        <w:rPr>
          <w:rFonts w:ascii="Arial" w:hAnsi="Arial" w:cs="Arial"/>
          <w:sz w:val="24"/>
          <w:szCs w:val="24"/>
        </w:rPr>
        <w:t>Then</w:t>
      </w:r>
      <w:r w:rsidR="00E2011E" w:rsidRPr="00B1350E">
        <w:rPr>
          <w:rFonts w:ascii="Arial" w:hAnsi="Arial" w:cs="Arial"/>
          <w:sz w:val="24"/>
          <w:szCs w:val="24"/>
        </w:rPr>
        <w:t xml:space="preserve"> the notion “sticks” </w:t>
      </w:r>
      <w:r w:rsidRPr="00B1350E">
        <w:rPr>
          <w:rFonts w:ascii="Arial" w:hAnsi="Arial" w:cs="Arial"/>
          <w:sz w:val="24"/>
          <w:szCs w:val="24"/>
        </w:rPr>
        <w:t>and becomes</w:t>
      </w:r>
      <w:r w:rsidR="006759E4" w:rsidRPr="00B1350E">
        <w:rPr>
          <w:rFonts w:ascii="Arial" w:hAnsi="Arial" w:cs="Arial"/>
          <w:sz w:val="24"/>
          <w:szCs w:val="24"/>
        </w:rPr>
        <w:t xml:space="preserve"> part</w:t>
      </w:r>
      <w:r w:rsidR="00E2011E" w:rsidRPr="00B1350E">
        <w:rPr>
          <w:rFonts w:ascii="Arial" w:hAnsi="Arial" w:cs="Arial"/>
          <w:sz w:val="24"/>
          <w:szCs w:val="24"/>
        </w:rPr>
        <w:t xml:space="preserve"> of common lore</w:t>
      </w:r>
      <w:r w:rsidR="008B1D8F" w:rsidRPr="00B1350E">
        <w:rPr>
          <w:rFonts w:ascii="Arial" w:hAnsi="Arial" w:cs="Arial"/>
          <w:sz w:val="24"/>
          <w:szCs w:val="24"/>
        </w:rPr>
        <w:t xml:space="preserve"> (Heath and Heath, 2007)</w:t>
      </w:r>
      <w:r w:rsidRPr="00B1350E">
        <w:rPr>
          <w:rFonts w:ascii="Arial" w:hAnsi="Arial" w:cs="Arial"/>
          <w:sz w:val="24"/>
          <w:szCs w:val="24"/>
        </w:rPr>
        <w:t xml:space="preserve">; </w:t>
      </w:r>
      <w:r w:rsidR="00420CFB" w:rsidRPr="00B1350E">
        <w:rPr>
          <w:rFonts w:ascii="Arial" w:hAnsi="Arial" w:cs="Arial"/>
          <w:sz w:val="24"/>
          <w:szCs w:val="24"/>
        </w:rPr>
        <w:t xml:space="preserve">diffusion </w:t>
      </w:r>
      <w:r w:rsidRPr="00B1350E">
        <w:rPr>
          <w:rFonts w:ascii="Arial" w:hAnsi="Arial" w:cs="Arial"/>
          <w:sz w:val="24"/>
          <w:szCs w:val="24"/>
        </w:rPr>
        <w:t xml:space="preserve">happens </w:t>
      </w:r>
      <w:r w:rsidR="00420CFB" w:rsidRPr="00B1350E">
        <w:rPr>
          <w:rFonts w:ascii="Arial" w:hAnsi="Arial" w:cs="Arial"/>
          <w:sz w:val="24"/>
          <w:szCs w:val="24"/>
        </w:rPr>
        <w:t>quickly and at a large scale</w:t>
      </w:r>
      <w:r w:rsidR="008B1D8F" w:rsidRPr="00B1350E">
        <w:rPr>
          <w:rFonts w:ascii="Arial" w:hAnsi="Arial" w:cs="Arial"/>
          <w:sz w:val="24"/>
          <w:szCs w:val="24"/>
        </w:rPr>
        <w:t xml:space="preserve">.  </w:t>
      </w:r>
      <w:r w:rsidR="00F13906" w:rsidRPr="00B1350E">
        <w:rPr>
          <w:rFonts w:ascii="Arial" w:hAnsi="Arial" w:cs="Arial"/>
          <w:sz w:val="24"/>
          <w:szCs w:val="24"/>
        </w:rPr>
        <w:t>Second, e</w:t>
      </w:r>
      <w:r w:rsidR="008B1D8F" w:rsidRPr="00B1350E">
        <w:rPr>
          <w:rFonts w:ascii="Arial" w:hAnsi="Arial" w:cs="Arial"/>
          <w:sz w:val="24"/>
          <w:szCs w:val="24"/>
        </w:rPr>
        <w:t xml:space="preserve">xternal factors frequently influence both a program </w:t>
      </w:r>
      <w:r w:rsidR="00054360" w:rsidRPr="00B1350E">
        <w:rPr>
          <w:rFonts w:ascii="Arial" w:hAnsi="Arial" w:cs="Arial"/>
          <w:sz w:val="24"/>
          <w:szCs w:val="24"/>
        </w:rPr>
        <w:t>and</w:t>
      </w:r>
      <w:r w:rsidR="008B1D8F" w:rsidRPr="00B1350E">
        <w:rPr>
          <w:rFonts w:ascii="Arial" w:hAnsi="Arial" w:cs="Arial"/>
          <w:sz w:val="24"/>
          <w:szCs w:val="24"/>
        </w:rPr>
        <w:t xml:space="preserve"> the responses of </w:t>
      </w:r>
      <w:r w:rsidRPr="00B1350E">
        <w:rPr>
          <w:rFonts w:ascii="Arial" w:hAnsi="Arial" w:cs="Arial"/>
          <w:sz w:val="24"/>
          <w:szCs w:val="24"/>
        </w:rPr>
        <w:t xml:space="preserve">participating </w:t>
      </w:r>
      <w:r w:rsidR="008B1D8F" w:rsidRPr="00B1350E">
        <w:rPr>
          <w:rFonts w:ascii="Arial" w:hAnsi="Arial" w:cs="Arial"/>
          <w:sz w:val="24"/>
          <w:szCs w:val="24"/>
        </w:rPr>
        <w:t>individuals</w:t>
      </w:r>
      <w:r w:rsidR="00F13906" w:rsidRPr="00B1350E">
        <w:rPr>
          <w:rFonts w:ascii="Arial" w:hAnsi="Arial" w:cs="Arial"/>
          <w:sz w:val="24"/>
          <w:szCs w:val="24"/>
        </w:rPr>
        <w:t>.</w:t>
      </w:r>
      <w:r w:rsidR="00747D81">
        <w:rPr>
          <w:rFonts w:ascii="Arial" w:hAnsi="Arial" w:cs="Arial"/>
          <w:sz w:val="24"/>
          <w:szCs w:val="24"/>
        </w:rPr>
        <w:t xml:space="preserve"> </w:t>
      </w:r>
      <w:r w:rsidR="00F13906" w:rsidRPr="00B1350E">
        <w:rPr>
          <w:rFonts w:ascii="Arial" w:hAnsi="Arial" w:cs="Arial"/>
          <w:sz w:val="24"/>
          <w:szCs w:val="24"/>
        </w:rPr>
        <w:t>P</w:t>
      </w:r>
      <w:r w:rsidR="008B1D8F" w:rsidRPr="00B1350E">
        <w:rPr>
          <w:rFonts w:ascii="Arial" w:hAnsi="Arial" w:cs="Arial"/>
          <w:sz w:val="24"/>
          <w:szCs w:val="24"/>
        </w:rPr>
        <w:t xml:space="preserve">rograms </w:t>
      </w:r>
      <w:r w:rsidR="00F13906" w:rsidRPr="00B1350E">
        <w:rPr>
          <w:rFonts w:ascii="Arial" w:hAnsi="Arial" w:cs="Arial"/>
          <w:sz w:val="24"/>
          <w:szCs w:val="24"/>
        </w:rPr>
        <w:t>do not operate in a vacuum</w:t>
      </w:r>
      <w:r w:rsidR="0035669A" w:rsidRPr="00B1350E">
        <w:rPr>
          <w:rFonts w:ascii="Arial" w:hAnsi="Arial" w:cs="Arial"/>
          <w:sz w:val="24"/>
          <w:szCs w:val="24"/>
        </w:rPr>
        <w:t xml:space="preserve">; they </w:t>
      </w:r>
      <w:r w:rsidR="008B1D8F" w:rsidRPr="00B1350E">
        <w:rPr>
          <w:rFonts w:ascii="Arial" w:hAnsi="Arial" w:cs="Arial"/>
          <w:sz w:val="24"/>
          <w:szCs w:val="24"/>
        </w:rPr>
        <w:t xml:space="preserve">must be considered within </w:t>
      </w:r>
      <w:r w:rsidR="00054360" w:rsidRPr="00B1350E">
        <w:rPr>
          <w:rFonts w:ascii="Arial" w:hAnsi="Arial" w:cs="Arial"/>
          <w:sz w:val="24"/>
          <w:szCs w:val="24"/>
        </w:rPr>
        <w:t xml:space="preserve">their </w:t>
      </w:r>
      <w:r w:rsidR="008B1D8F" w:rsidRPr="00B1350E">
        <w:rPr>
          <w:rFonts w:ascii="Arial" w:hAnsi="Arial" w:cs="Arial"/>
          <w:sz w:val="24"/>
          <w:szCs w:val="24"/>
        </w:rPr>
        <w:t xml:space="preserve">larger environment.  </w:t>
      </w:r>
    </w:p>
    <w:p w:rsidR="00B37187" w:rsidRPr="00B1350E" w:rsidRDefault="00B37187" w:rsidP="00B37187">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Both limits affect an important theoretical issue underlying IMLS’s </w:t>
      </w:r>
      <w:r w:rsidRPr="00B1350E">
        <w:rPr>
          <w:rFonts w:ascii="Arial" w:hAnsi="Arial" w:cs="Arial"/>
          <w:i/>
          <w:sz w:val="24"/>
          <w:szCs w:val="24"/>
        </w:rPr>
        <w:t xml:space="preserve">Measuring Success </w:t>
      </w:r>
      <w:r w:rsidRPr="00B1350E">
        <w:rPr>
          <w:rFonts w:ascii="Arial" w:hAnsi="Arial" w:cs="Arial"/>
          <w:sz w:val="24"/>
          <w:szCs w:val="24"/>
        </w:rPr>
        <w:t>initiative</w:t>
      </w:r>
      <w:r w:rsidRPr="00B1350E">
        <w:rPr>
          <w:rFonts w:ascii="Arial" w:hAnsi="Arial" w:cs="Arial"/>
          <w:i/>
          <w:sz w:val="24"/>
          <w:szCs w:val="24"/>
        </w:rPr>
        <w:t xml:space="preserve">.  </w:t>
      </w:r>
      <w:r w:rsidR="00944E10" w:rsidRPr="00B1350E">
        <w:rPr>
          <w:rFonts w:ascii="Arial" w:hAnsi="Arial" w:cs="Arial"/>
          <w:sz w:val="24"/>
          <w:szCs w:val="24"/>
        </w:rPr>
        <w:t>L</w:t>
      </w:r>
      <w:r w:rsidR="008B1D8F" w:rsidRPr="00B1350E">
        <w:rPr>
          <w:rFonts w:ascii="Arial" w:hAnsi="Arial" w:cs="Arial"/>
          <w:sz w:val="24"/>
          <w:szCs w:val="24"/>
        </w:rPr>
        <w:t>ibrary service</w:t>
      </w:r>
      <w:r w:rsidR="00944E10" w:rsidRPr="00B1350E">
        <w:rPr>
          <w:rFonts w:ascii="Arial" w:hAnsi="Arial" w:cs="Arial"/>
          <w:sz w:val="24"/>
          <w:szCs w:val="24"/>
        </w:rPr>
        <w:t>s and</w:t>
      </w:r>
      <w:r w:rsidR="008B1D8F" w:rsidRPr="00B1350E">
        <w:rPr>
          <w:rFonts w:ascii="Arial" w:hAnsi="Arial" w:cs="Arial"/>
          <w:sz w:val="24"/>
          <w:szCs w:val="24"/>
        </w:rPr>
        <w:t xml:space="preserve"> programs operate on an implicit “theory of change”</w:t>
      </w:r>
      <w:r w:rsidR="00A423A7" w:rsidRPr="00B1350E">
        <w:rPr>
          <w:rStyle w:val="FootnoteReference"/>
          <w:rFonts w:ascii="Arial" w:hAnsi="Arial" w:cs="Arial"/>
          <w:sz w:val="24"/>
          <w:szCs w:val="24"/>
        </w:rPr>
        <w:footnoteReference w:id="1"/>
      </w:r>
      <w:r w:rsidR="008B1D8F" w:rsidRPr="00B1350E">
        <w:rPr>
          <w:rFonts w:ascii="Arial" w:hAnsi="Arial" w:cs="Arial"/>
          <w:sz w:val="24"/>
          <w:szCs w:val="24"/>
        </w:rPr>
        <w:t xml:space="preserve"> associated with informal learning.</w:t>
      </w:r>
      <w:r>
        <w:rPr>
          <w:rFonts w:ascii="Arial" w:hAnsi="Arial" w:cs="Arial"/>
          <w:sz w:val="24"/>
          <w:szCs w:val="24"/>
        </w:rPr>
        <w:t xml:space="preserve">  </w:t>
      </w:r>
      <w:r w:rsidRPr="00B1350E">
        <w:rPr>
          <w:rFonts w:ascii="Arial" w:hAnsi="Arial" w:cs="Arial"/>
          <w:sz w:val="24"/>
          <w:szCs w:val="24"/>
        </w:rPr>
        <w:t xml:space="preserve">A prevailing interpretation of informal learning is based on variations of this theory of change:  acquisition of some </w:t>
      </w:r>
      <w:r w:rsidRPr="00B1350E">
        <w:rPr>
          <w:rFonts w:ascii="Arial" w:hAnsi="Arial" w:cs="Arial"/>
          <w:i/>
          <w:sz w:val="24"/>
          <w:szCs w:val="24"/>
        </w:rPr>
        <w:t>knowledge</w:t>
      </w:r>
      <w:r w:rsidRPr="00B1350E">
        <w:rPr>
          <w:rFonts w:ascii="Arial" w:hAnsi="Arial" w:cs="Arial"/>
          <w:sz w:val="24"/>
          <w:szCs w:val="24"/>
        </w:rPr>
        <w:t xml:space="preserve"> leads to </w:t>
      </w:r>
      <w:r w:rsidRPr="00B1350E">
        <w:rPr>
          <w:rFonts w:ascii="Arial" w:hAnsi="Arial" w:cs="Arial"/>
          <w:i/>
          <w:sz w:val="24"/>
          <w:szCs w:val="24"/>
        </w:rPr>
        <w:t xml:space="preserve">attitude </w:t>
      </w:r>
      <w:r w:rsidRPr="00B1350E">
        <w:rPr>
          <w:rFonts w:ascii="Arial" w:hAnsi="Arial" w:cs="Arial"/>
          <w:sz w:val="24"/>
          <w:szCs w:val="24"/>
        </w:rPr>
        <w:t xml:space="preserve">change that in turn leads to a change in </w:t>
      </w:r>
      <w:r w:rsidRPr="00B1350E">
        <w:rPr>
          <w:rFonts w:ascii="Arial" w:hAnsi="Arial" w:cs="Arial"/>
          <w:i/>
          <w:sz w:val="24"/>
          <w:szCs w:val="24"/>
        </w:rPr>
        <w:t>behavior</w:t>
      </w:r>
      <w:r w:rsidRPr="00B1350E">
        <w:rPr>
          <w:rFonts w:ascii="Arial" w:hAnsi="Arial" w:cs="Arial"/>
          <w:sz w:val="24"/>
          <w:szCs w:val="24"/>
        </w:rPr>
        <w:t xml:space="preserve">.  The “KAB” theory </w:t>
      </w:r>
      <w:r w:rsidR="009E37EE">
        <w:rPr>
          <w:rFonts w:ascii="Arial" w:hAnsi="Arial" w:cs="Arial"/>
          <w:sz w:val="24"/>
          <w:szCs w:val="24"/>
        </w:rPr>
        <w:t xml:space="preserve">of change </w:t>
      </w:r>
      <w:r w:rsidRPr="00B1350E">
        <w:rPr>
          <w:rFonts w:ascii="Arial" w:hAnsi="Arial" w:cs="Arial"/>
          <w:sz w:val="24"/>
          <w:szCs w:val="24"/>
        </w:rPr>
        <w:t xml:space="preserve">(Figure </w:t>
      </w:r>
      <w:r w:rsidRPr="009E37EE">
        <w:rPr>
          <w:rFonts w:ascii="Arial" w:hAnsi="Arial" w:cs="Arial"/>
          <w:sz w:val="24"/>
          <w:szCs w:val="24"/>
        </w:rPr>
        <w:t>1.2.a)</w:t>
      </w:r>
      <w:r w:rsidRPr="00B1350E">
        <w:rPr>
          <w:rFonts w:ascii="Arial" w:hAnsi="Arial" w:cs="Arial"/>
          <w:sz w:val="24"/>
          <w:szCs w:val="24"/>
        </w:rPr>
        <w:t xml:space="preserve"> remains dominant in the social sciences and associated professional fields, including library services.</w:t>
      </w:r>
    </w:p>
    <w:p w:rsidR="0035669A" w:rsidRPr="00B1350E" w:rsidRDefault="0035669A" w:rsidP="008B1D8F">
      <w:pPr>
        <w:pStyle w:val="Body1"/>
        <w:spacing w:before="100" w:beforeAutospacing="1" w:after="100" w:afterAutospacing="1" w:line="360" w:lineRule="auto"/>
        <w:rPr>
          <w:rFonts w:ascii="Arial" w:hAnsi="Arial" w:cs="Arial"/>
          <w:b/>
          <w:i/>
          <w:sz w:val="24"/>
          <w:szCs w:val="24"/>
          <w:u w:val="single"/>
        </w:rPr>
      </w:pPr>
      <w:r w:rsidRPr="00B1350E">
        <w:rPr>
          <w:rFonts w:ascii="Arial" w:hAnsi="Arial" w:cs="Arial"/>
          <w:b/>
          <w:i/>
          <w:sz w:val="24"/>
          <w:szCs w:val="24"/>
          <w:u w:val="single"/>
        </w:rPr>
        <w:t>Insert Fig. 1.</w:t>
      </w:r>
      <w:r w:rsidR="00E94D24" w:rsidRPr="00B1350E">
        <w:rPr>
          <w:rFonts w:ascii="Arial" w:hAnsi="Arial" w:cs="Arial"/>
          <w:b/>
          <w:i/>
          <w:sz w:val="24"/>
          <w:szCs w:val="24"/>
          <w:u w:val="single"/>
        </w:rPr>
        <w:t>2</w:t>
      </w:r>
      <w:r w:rsidRPr="00B1350E">
        <w:rPr>
          <w:rFonts w:ascii="Arial" w:hAnsi="Arial" w:cs="Arial"/>
          <w:b/>
          <w:i/>
          <w:sz w:val="24"/>
          <w:szCs w:val="24"/>
          <w:u w:val="single"/>
        </w:rPr>
        <w:t>.</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While elegant, KAB theory</w:t>
      </w:r>
      <w:r w:rsidR="00D266EA" w:rsidRPr="00B1350E">
        <w:rPr>
          <w:rFonts w:ascii="Arial" w:hAnsi="Arial" w:cs="Arial"/>
          <w:sz w:val="24"/>
          <w:szCs w:val="24"/>
        </w:rPr>
        <w:t xml:space="preserve"> is </w:t>
      </w:r>
      <w:r w:rsidR="00BD090B" w:rsidRPr="00B1350E">
        <w:rPr>
          <w:rFonts w:ascii="Arial" w:hAnsi="Arial" w:cs="Arial"/>
          <w:sz w:val="24"/>
          <w:szCs w:val="24"/>
        </w:rPr>
        <w:t>overly</w:t>
      </w:r>
      <w:r w:rsidR="00D266EA" w:rsidRPr="00B1350E">
        <w:rPr>
          <w:rFonts w:ascii="Arial" w:hAnsi="Arial" w:cs="Arial"/>
          <w:sz w:val="24"/>
          <w:szCs w:val="24"/>
        </w:rPr>
        <w:t xml:space="preserve"> simpl</w:t>
      </w:r>
      <w:r w:rsidR="00BD090B" w:rsidRPr="00B1350E">
        <w:rPr>
          <w:rFonts w:ascii="Arial" w:hAnsi="Arial" w:cs="Arial"/>
          <w:sz w:val="24"/>
          <w:szCs w:val="24"/>
        </w:rPr>
        <w:t>istic</w:t>
      </w:r>
      <w:r w:rsidR="00D266EA" w:rsidRPr="00B1350E">
        <w:rPr>
          <w:rFonts w:ascii="Arial" w:hAnsi="Arial" w:cs="Arial"/>
          <w:sz w:val="24"/>
          <w:szCs w:val="24"/>
        </w:rPr>
        <w:t xml:space="preserve">. </w:t>
      </w:r>
      <w:r w:rsidRPr="00B1350E">
        <w:rPr>
          <w:rFonts w:ascii="Arial" w:hAnsi="Arial" w:cs="Arial"/>
          <w:sz w:val="24"/>
          <w:szCs w:val="24"/>
        </w:rPr>
        <w:t xml:space="preserve"> </w:t>
      </w:r>
      <w:r w:rsidR="00240E9C" w:rsidRPr="00B1350E">
        <w:rPr>
          <w:rFonts w:ascii="Arial" w:hAnsi="Arial" w:cs="Arial"/>
          <w:sz w:val="24"/>
          <w:szCs w:val="24"/>
        </w:rPr>
        <w:t>S</w:t>
      </w:r>
      <w:r w:rsidRPr="00B1350E">
        <w:rPr>
          <w:rFonts w:ascii="Arial" w:hAnsi="Arial" w:cs="Arial"/>
          <w:sz w:val="24"/>
          <w:szCs w:val="24"/>
        </w:rPr>
        <w:t xml:space="preserve">ocial scientists and other learning theorists have invested substantial energies over decades </w:t>
      </w:r>
      <w:r w:rsidR="001E4153" w:rsidRPr="00B1350E">
        <w:rPr>
          <w:rFonts w:ascii="Arial" w:hAnsi="Arial" w:cs="Arial"/>
          <w:sz w:val="24"/>
          <w:szCs w:val="24"/>
        </w:rPr>
        <w:t xml:space="preserve">to devise </w:t>
      </w:r>
      <w:r w:rsidRPr="00B1350E">
        <w:rPr>
          <w:rFonts w:ascii="Arial" w:hAnsi="Arial" w:cs="Arial"/>
          <w:sz w:val="24"/>
          <w:szCs w:val="24"/>
        </w:rPr>
        <w:t xml:space="preserve">and test </w:t>
      </w:r>
      <w:r w:rsidR="009E37EE">
        <w:rPr>
          <w:rFonts w:ascii="Arial" w:hAnsi="Arial" w:cs="Arial"/>
          <w:sz w:val="24"/>
          <w:szCs w:val="24"/>
        </w:rPr>
        <w:t>substantial refinements of KAB</w:t>
      </w:r>
      <w:r w:rsidR="00BD090B" w:rsidRPr="00B1350E">
        <w:rPr>
          <w:rFonts w:ascii="Arial" w:hAnsi="Arial" w:cs="Arial"/>
          <w:sz w:val="24"/>
          <w:szCs w:val="24"/>
        </w:rPr>
        <w:t xml:space="preserve"> </w:t>
      </w:r>
      <w:r w:rsidR="00846F63" w:rsidRPr="00B1350E">
        <w:rPr>
          <w:rFonts w:ascii="Arial" w:hAnsi="Arial" w:cs="Arial"/>
          <w:sz w:val="24"/>
          <w:szCs w:val="24"/>
        </w:rPr>
        <w:t>theory</w:t>
      </w:r>
      <w:r w:rsidRPr="00B1350E">
        <w:rPr>
          <w:rFonts w:ascii="Arial" w:hAnsi="Arial" w:cs="Arial"/>
          <w:sz w:val="24"/>
          <w:szCs w:val="24"/>
        </w:rPr>
        <w:t xml:space="preserve"> </w:t>
      </w:r>
      <w:r w:rsidR="009E37EE">
        <w:rPr>
          <w:rFonts w:ascii="Arial" w:hAnsi="Arial" w:cs="Arial"/>
          <w:sz w:val="24"/>
          <w:szCs w:val="24"/>
        </w:rPr>
        <w:t xml:space="preserve">and others </w:t>
      </w:r>
      <w:r w:rsidR="001E4153" w:rsidRPr="00B1350E">
        <w:rPr>
          <w:rFonts w:ascii="Arial" w:hAnsi="Arial" w:cs="Arial"/>
          <w:sz w:val="24"/>
          <w:szCs w:val="24"/>
        </w:rPr>
        <w:t xml:space="preserve">to </w:t>
      </w:r>
      <w:r w:rsidRPr="00B1350E">
        <w:rPr>
          <w:rFonts w:ascii="Arial" w:hAnsi="Arial" w:cs="Arial"/>
          <w:sz w:val="24"/>
          <w:szCs w:val="24"/>
        </w:rPr>
        <w:t xml:space="preserve">understand how learning can lead to desired </w:t>
      </w:r>
      <w:r w:rsidRPr="00B1350E">
        <w:rPr>
          <w:rFonts w:ascii="Arial" w:hAnsi="Arial" w:cs="Arial"/>
          <w:sz w:val="24"/>
          <w:szCs w:val="24"/>
        </w:rPr>
        <w:lastRenderedPageBreak/>
        <w:t>behavioral (or other types of) change</w:t>
      </w:r>
      <w:r w:rsidR="00BD090B" w:rsidRPr="00B1350E">
        <w:rPr>
          <w:rFonts w:ascii="Arial" w:hAnsi="Arial" w:cs="Arial"/>
          <w:sz w:val="24"/>
          <w:szCs w:val="24"/>
        </w:rPr>
        <w:t>.</w:t>
      </w:r>
      <w:r w:rsidR="00E2011E" w:rsidRPr="00B1350E">
        <w:rPr>
          <w:rFonts w:ascii="Arial" w:hAnsi="Arial" w:cs="Arial"/>
          <w:sz w:val="24"/>
          <w:szCs w:val="24"/>
        </w:rPr>
        <w:t xml:space="preserve"> </w:t>
      </w:r>
      <w:r w:rsidRPr="00B1350E">
        <w:rPr>
          <w:rFonts w:ascii="Arial" w:hAnsi="Arial" w:cs="Arial"/>
          <w:sz w:val="24"/>
          <w:szCs w:val="24"/>
        </w:rPr>
        <w:t xml:space="preserve"> While nothing has yet </w:t>
      </w:r>
      <w:r w:rsidR="00BD090B" w:rsidRPr="00B1350E">
        <w:rPr>
          <w:rFonts w:ascii="Arial" w:hAnsi="Arial" w:cs="Arial"/>
          <w:sz w:val="24"/>
          <w:szCs w:val="24"/>
        </w:rPr>
        <w:t>removed</w:t>
      </w:r>
      <w:r w:rsidRPr="00B1350E">
        <w:rPr>
          <w:rFonts w:ascii="Arial" w:hAnsi="Arial" w:cs="Arial"/>
          <w:sz w:val="24"/>
          <w:szCs w:val="24"/>
        </w:rPr>
        <w:t xml:space="preserve"> </w:t>
      </w:r>
      <w:r w:rsidR="009E37EE">
        <w:rPr>
          <w:rFonts w:ascii="Arial" w:hAnsi="Arial" w:cs="Arial"/>
          <w:sz w:val="24"/>
          <w:szCs w:val="24"/>
        </w:rPr>
        <w:t xml:space="preserve">the basic </w:t>
      </w:r>
      <w:r w:rsidRPr="00B1350E">
        <w:rPr>
          <w:rFonts w:ascii="Arial" w:hAnsi="Arial" w:cs="Arial"/>
          <w:sz w:val="24"/>
          <w:szCs w:val="24"/>
        </w:rPr>
        <w:t>KAB theory</w:t>
      </w:r>
      <w:r w:rsidR="00BD090B" w:rsidRPr="00B1350E">
        <w:rPr>
          <w:rFonts w:ascii="Arial" w:hAnsi="Arial" w:cs="Arial"/>
          <w:sz w:val="24"/>
          <w:szCs w:val="24"/>
        </w:rPr>
        <w:t xml:space="preserve"> from </w:t>
      </w:r>
      <w:r w:rsidR="001E4153" w:rsidRPr="00B1350E">
        <w:rPr>
          <w:rFonts w:ascii="Arial" w:hAnsi="Arial" w:cs="Arial"/>
          <w:sz w:val="24"/>
          <w:szCs w:val="24"/>
        </w:rPr>
        <w:t xml:space="preserve">its </w:t>
      </w:r>
      <w:r w:rsidR="00BD090B" w:rsidRPr="00B1350E">
        <w:rPr>
          <w:rFonts w:ascii="Arial" w:hAnsi="Arial" w:cs="Arial"/>
          <w:sz w:val="24"/>
          <w:szCs w:val="24"/>
        </w:rPr>
        <w:t>ped</w:t>
      </w:r>
      <w:r w:rsidR="001E4153" w:rsidRPr="00B1350E">
        <w:rPr>
          <w:rFonts w:ascii="Arial" w:hAnsi="Arial" w:cs="Arial"/>
          <w:sz w:val="24"/>
          <w:szCs w:val="24"/>
        </w:rPr>
        <w:t>est</w:t>
      </w:r>
      <w:r w:rsidR="00BD090B" w:rsidRPr="00B1350E">
        <w:rPr>
          <w:rFonts w:ascii="Arial" w:hAnsi="Arial" w:cs="Arial"/>
          <w:sz w:val="24"/>
          <w:szCs w:val="24"/>
        </w:rPr>
        <w:t>al</w:t>
      </w:r>
      <w:r w:rsidR="00E2011E" w:rsidRPr="00B1350E">
        <w:rPr>
          <w:rFonts w:ascii="Arial" w:hAnsi="Arial" w:cs="Arial"/>
          <w:sz w:val="24"/>
          <w:szCs w:val="24"/>
        </w:rPr>
        <w:t>,</w:t>
      </w:r>
      <w:r w:rsidR="00BD090B" w:rsidRPr="00B1350E">
        <w:rPr>
          <w:rFonts w:ascii="Arial" w:hAnsi="Arial" w:cs="Arial"/>
          <w:sz w:val="24"/>
          <w:szCs w:val="24"/>
        </w:rPr>
        <w:t xml:space="preserve"> </w:t>
      </w:r>
      <w:r w:rsidR="001E4153" w:rsidRPr="00B1350E">
        <w:rPr>
          <w:rFonts w:ascii="Arial" w:hAnsi="Arial" w:cs="Arial"/>
          <w:sz w:val="24"/>
          <w:szCs w:val="24"/>
        </w:rPr>
        <w:t>this is a</w:t>
      </w:r>
      <w:r w:rsidR="00BD090B" w:rsidRPr="00B1350E">
        <w:rPr>
          <w:rFonts w:ascii="Arial" w:hAnsi="Arial" w:cs="Arial"/>
          <w:sz w:val="24"/>
          <w:szCs w:val="24"/>
        </w:rPr>
        <w:t xml:space="preserve"> central part of </w:t>
      </w:r>
      <w:r w:rsidR="001E4153" w:rsidRPr="00B1350E">
        <w:rPr>
          <w:rFonts w:ascii="Arial" w:hAnsi="Arial" w:cs="Arial"/>
          <w:sz w:val="24"/>
          <w:szCs w:val="24"/>
        </w:rPr>
        <w:t xml:space="preserve">the </w:t>
      </w:r>
      <w:r w:rsidR="00BD090B" w:rsidRPr="00B1350E">
        <w:rPr>
          <w:rFonts w:ascii="Arial" w:hAnsi="Arial" w:cs="Arial"/>
          <w:sz w:val="24"/>
          <w:szCs w:val="24"/>
        </w:rPr>
        <w:t>arena</w:t>
      </w:r>
      <w:r w:rsidR="006759E4" w:rsidRPr="00B1350E">
        <w:rPr>
          <w:rFonts w:ascii="Arial" w:hAnsi="Arial" w:cs="Arial"/>
          <w:sz w:val="24"/>
          <w:szCs w:val="24"/>
        </w:rPr>
        <w:t>.</w:t>
      </w:r>
      <w:r w:rsidR="00C64E06" w:rsidRPr="00B1350E">
        <w:rPr>
          <w:rStyle w:val="FootnoteReference"/>
          <w:rFonts w:ascii="Arial" w:hAnsi="Arial" w:cs="Arial"/>
          <w:sz w:val="24"/>
          <w:szCs w:val="24"/>
        </w:rPr>
        <w:t xml:space="preserve"> </w:t>
      </w:r>
      <w:r w:rsidR="00C64E06" w:rsidRPr="00B1350E">
        <w:rPr>
          <w:rStyle w:val="FootnoteReference"/>
          <w:rFonts w:ascii="Arial" w:hAnsi="Arial" w:cs="Arial"/>
          <w:sz w:val="24"/>
          <w:szCs w:val="24"/>
        </w:rPr>
        <w:footnoteReference w:id="2"/>
      </w:r>
      <w:r w:rsidR="00C64E06" w:rsidRPr="00B1350E">
        <w:rPr>
          <w:rFonts w:ascii="Arial" w:hAnsi="Arial" w:cs="Arial"/>
          <w:sz w:val="24"/>
          <w:szCs w:val="24"/>
        </w:rPr>
        <w:t xml:space="preserve"> </w:t>
      </w:r>
      <w:r w:rsidRPr="00B1350E">
        <w:rPr>
          <w:rFonts w:ascii="Arial" w:hAnsi="Arial" w:cs="Arial"/>
          <w:sz w:val="24"/>
          <w:szCs w:val="24"/>
        </w:rPr>
        <w:t xml:space="preserve">  </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One </w:t>
      </w:r>
      <w:r w:rsidR="00BD090B" w:rsidRPr="00B1350E">
        <w:rPr>
          <w:rFonts w:ascii="Arial" w:hAnsi="Arial" w:cs="Arial"/>
          <w:sz w:val="24"/>
          <w:szCs w:val="24"/>
        </w:rPr>
        <w:t xml:space="preserve">leading </w:t>
      </w:r>
      <w:r w:rsidRPr="00B1350E">
        <w:rPr>
          <w:rFonts w:ascii="Arial" w:hAnsi="Arial" w:cs="Arial"/>
          <w:sz w:val="24"/>
          <w:szCs w:val="24"/>
        </w:rPr>
        <w:t xml:space="preserve">alternative with </w:t>
      </w:r>
      <w:r w:rsidR="00240E9C" w:rsidRPr="00B1350E">
        <w:rPr>
          <w:rFonts w:ascii="Arial" w:hAnsi="Arial" w:cs="Arial"/>
          <w:sz w:val="24"/>
          <w:szCs w:val="24"/>
        </w:rPr>
        <w:t xml:space="preserve">supporting </w:t>
      </w:r>
      <w:r w:rsidRPr="00B1350E">
        <w:rPr>
          <w:rFonts w:ascii="Arial" w:hAnsi="Arial" w:cs="Arial"/>
          <w:sz w:val="24"/>
          <w:szCs w:val="24"/>
        </w:rPr>
        <w:t>empirical evidence involves diffusion theory</w:t>
      </w:r>
      <w:r w:rsidR="002B088F" w:rsidRPr="00B1350E">
        <w:rPr>
          <w:rFonts w:ascii="Arial" w:hAnsi="Arial" w:cs="Arial"/>
          <w:sz w:val="24"/>
          <w:szCs w:val="24"/>
        </w:rPr>
        <w:t xml:space="preserve"> </w:t>
      </w:r>
      <w:r w:rsidR="001E4153" w:rsidRPr="00B1350E">
        <w:rPr>
          <w:rFonts w:ascii="Arial" w:hAnsi="Arial" w:cs="Arial"/>
          <w:sz w:val="24"/>
          <w:szCs w:val="24"/>
        </w:rPr>
        <w:t xml:space="preserve">(see </w:t>
      </w:r>
      <w:r w:rsidRPr="00B1350E">
        <w:rPr>
          <w:rFonts w:ascii="Arial" w:hAnsi="Arial" w:cs="Arial"/>
          <w:sz w:val="24"/>
          <w:szCs w:val="24"/>
        </w:rPr>
        <w:t>groundbreaking work of Rogers</w:t>
      </w:r>
      <w:r w:rsidR="001E4153" w:rsidRPr="00B1350E">
        <w:rPr>
          <w:rFonts w:ascii="Arial" w:hAnsi="Arial" w:cs="Arial"/>
          <w:sz w:val="24"/>
          <w:szCs w:val="24"/>
        </w:rPr>
        <w:t xml:space="preserve">, </w:t>
      </w:r>
      <w:r w:rsidRPr="00B1350E">
        <w:rPr>
          <w:rFonts w:ascii="Arial" w:hAnsi="Arial" w:cs="Arial"/>
          <w:sz w:val="24"/>
          <w:szCs w:val="24"/>
        </w:rPr>
        <w:t xml:space="preserve">1962).  </w:t>
      </w:r>
      <w:r w:rsidR="00930CD5" w:rsidRPr="00B1350E">
        <w:rPr>
          <w:rFonts w:ascii="Arial" w:hAnsi="Arial" w:cs="Arial"/>
          <w:sz w:val="24"/>
          <w:szCs w:val="24"/>
        </w:rPr>
        <w:t xml:space="preserve">This </w:t>
      </w:r>
      <w:r w:rsidRPr="00B1350E">
        <w:rPr>
          <w:rFonts w:ascii="Arial" w:hAnsi="Arial" w:cs="Arial"/>
          <w:sz w:val="24"/>
          <w:szCs w:val="24"/>
        </w:rPr>
        <w:t xml:space="preserve">theory is illustrated in Figure </w:t>
      </w:r>
      <w:r w:rsidR="002B088F" w:rsidRPr="00B1350E">
        <w:rPr>
          <w:rFonts w:ascii="Arial" w:hAnsi="Arial" w:cs="Arial"/>
          <w:sz w:val="24"/>
          <w:szCs w:val="24"/>
        </w:rPr>
        <w:t>1.</w:t>
      </w:r>
      <w:r w:rsidR="00E94D24" w:rsidRPr="00B1350E">
        <w:rPr>
          <w:rFonts w:ascii="Arial" w:hAnsi="Arial" w:cs="Arial"/>
          <w:sz w:val="24"/>
          <w:szCs w:val="24"/>
        </w:rPr>
        <w:t>2</w:t>
      </w:r>
      <w:r w:rsidR="002B088F" w:rsidRPr="00B1350E">
        <w:rPr>
          <w:rFonts w:ascii="Arial" w:hAnsi="Arial" w:cs="Arial"/>
          <w:sz w:val="24"/>
          <w:szCs w:val="24"/>
        </w:rPr>
        <w:t>.b.</w:t>
      </w:r>
    </w:p>
    <w:p w:rsidR="0008695D" w:rsidRPr="00B1350E" w:rsidRDefault="004B764F" w:rsidP="0008695D">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Diffusion</w:t>
      </w:r>
      <w:r w:rsidR="008B1D8F" w:rsidRPr="00B1350E">
        <w:rPr>
          <w:rFonts w:ascii="Arial" w:hAnsi="Arial" w:cs="Arial"/>
          <w:sz w:val="24"/>
          <w:szCs w:val="24"/>
        </w:rPr>
        <w:t xml:space="preserve"> theory works at both individual and societal level</w:t>
      </w:r>
      <w:r w:rsidR="001E4153" w:rsidRPr="00B1350E">
        <w:rPr>
          <w:rFonts w:ascii="Arial" w:hAnsi="Arial" w:cs="Arial"/>
          <w:sz w:val="24"/>
          <w:szCs w:val="24"/>
        </w:rPr>
        <w:t>s</w:t>
      </w:r>
      <w:r w:rsidR="008B1D8F" w:rsidRPr="00B1350E">
        <w:rPr>
          <w:rFonts w:ascii="Arial" w:hAnsi="Arial" w:cs="Arial"/>
          <w:sz w:val="24"/>
          <w:szCs w:val="24"/>
        </w:rPr>
        <w:t xml:space="preserve">.  The top row of </w:t>
      </w:r>
      <w:r w:rsidR="005B7EAC" w:rsidRPr="00B1350E">
        <w:rPr>
          <w:rFonts w:ascii="Arial" w:hAnsi="Arial" w:cs="Arial"/>
          <w:sz w:val="24"/>
          <w:szCs w:val="24"/>
        </w:rPr>
        <w:t>F</w:t>
      </w:r>
      <w:r w:rsidR="008B1D8F" w:rsidRPr="00B1350E">
        <w:rPr>
          <w:rFonts w:ascii="Arial" w:hAnsi="Arial" w:cs="Arial"/>
          <w:sz w:val="24"/>
          <w:szCs w:val="24"/>
        </w:rPr>
        <w:t xml:space="preserve">igure </w:t>
      </w:r>
      <w:r w:rsidR="002B088F" w:rsidRPr="00B1350E">
        <w:rPr>
          <w:rFonts w:ascii="Arial" w:hAnsi="Arial" w:cs="Arial"/>
          <w:sz w:val="24"/>
          <w:szCs w:val="24"/>
        </w:rPr>
        <w:t>1.</w:t>
      </w:r>
      <w:r w:rsidR="00E94D24" w:rsidRPr="00B1350E">
        <w:rPr>
          <w:rFonts w:ascii="Arial" w:hAnsi="Arial" w:cs="Arial"/>
          <w:sz w:val="24"/>
          <w:szCs w:val="24"/>
        </w:rPr>
        <w:t>2</w:t>
      </w:r>
      <w:r w:rsidR="002B088F" w:rsidRPr="00B1350E">
        <w:rPr>
          <w:rFonts w:ascii="Arial" w:hAnsi="Arial" w:cs="Arial"/>
          <w:sz w:val="24"/>
          <w:szCs w:val="24"/>
        </w:rPr>
        <w:t>.b.</w:t>
      </w:r>
      <w:r w:rsidR="005B7EAC" w:rsidRPr="00B1350E">
        <w:rPr>
          <w:rFonts w:ascii="Arial" w:hAnsi="Arial" w:cs="Arial"/>
          <w:sz w:val="24"/>
          <w:szCs w:val="24"/>
        </w:rPr>
        <w:t xml:space="preserve"> </w:t>
      </w:r>
      <w:r w:rsidR="008B1D8F" w:rsidRPr="00B1350E">
        <w:rPr>
          <w:rFonts w:ascii="Arial" w:hAnsi="Arial" w:cs="Arial"/>
          <w:sz w:val="24"/>
          <w:szCs w:val="24"/>
        </w:rPr>
        <w:t>focuses on individual</w:t>
      </w:r>
      <w:r w:rsidR="005B7EAC" w:rsidRPr="00B1350E">
        <w:rPr>
          <w:rFonts w:ascii="Arial" w:hAnsi="Arial" w:cs="Arial"/>
          <w:sz w:val="24"/>
          <w:szCs w:val="24"/>
        </w:rPr>
        <w:t>s</w:t>
      </w:r>
      <w:r w:rsidR="008B1D8F" w:rsidRPr="00B1350E">
        <w:rPr>
          <w:rFonts w:ascii="Arial" w:hAnsi="Arial" w:cs="Arial"/>
          <w:sz w:val="24"/>
          <w:szCs w:val="24"/>
        </w:rPr>
        <w:t>.</w:t>
      </w:r>
      <w:r w:rsidR="005B7EAC" w:rsidRPr="00B1350E">
        <w:rPr>
          <w:rFonts w:ascii="Arial" w:hAnsi="Arial" w:cs="Arial"/>
          <w:sz w:val="24"/>
          <w:szCs w:val="24"/>
        </w:rPr>
        <w:t xml:space="preserve"> </w:t>
      </w:r>
      <w:r w:rsidR="008B1D8F" w:rsidRPr="00B1350E">
        <w:rPr>
          <w:rFonts w:ascii="Arial" w:hAnsi="Arial" w:cs="Arial"/>
          <w:sz w:val="24"/>
          <w:szCs w:val="24"/>
        </w:rPr>
        <w:t xml:space="preserve"> </w:t>
      </w:r>
      <w:r w:rsidR="005B7EAC" w:rsidRPr="00B1350E">
        <w:rPr>
          <w:rFonts w:ascii="Arial" w:hAnsi="Arial" w:cs="Arial"/>
          <w:sz w:val="24"/>
          <w:szCs w:val="24"/>
        </w:rPr>
        <w:t>D</w:t>
      </w:r>
      <w:r w:rsidR="008B1D8F" w:rsidRPr="00B1350E">
        <w:rPr>
          <w:rFonts w:ascii="Arial" w:hAnsi="Arial" w:cs="Arial"/>
          <w:sz w:val="24"/>
          <w:szCs w:val="24"/>
        </w:rPr>
        <w:t>iffusion theorists</w:t>
      </w:r>
      <w:r w:rsidR="005B7EAC" w:rsidRPr="00B1350E">
        <w:rPr>
          <w:rFonts w:ascii="Arial" w:hAnsi="Arial" w:cs="Arial"/>
          <w:sz w:val="24"/>
          <w:szCs w:val="24"/>
        </w:rPr>
        <w:t xml:space="preserve"> divide</w:t>
      </w:r>
      <w:r w:rsidR="008B1D8F" w:rsidRPr="00B1350E">
        <w:rPr>
          <w:rFonts w:ascii="Arial" w:hAnsi="Arial" w:cs="Arial"/>
          <w:sz w:val="24"/>
          <w:szCs w:val="24"/>
        </w:rPr>
        <w:t xml:space="preserve"> individual </w:t>
      </w:r>
      <w:r w:rsidR="00441496" w:rsidRPr="00B1350E">
        <w:rPr>
          <w:rFonts w:ascii="Arial" w:hAnsi="Arial" w:cs="Arial"/>
          <w:sz w:val="24"/>
          <w:szCs w:val="24"/>
        </w:rPr>
        <w:t xml:space="preserve">learning </w:t>
      </w:r>
      <w:r w:rsidR="008B1D8F" w:rsidRPr="00B1350E">
        <w:rPr>
          <w:rFonts w:ascii="Arial" w:hAnsi="Arial" w:cs="Arial"/>
          <w:sz w:val="24"/>
          <w:szCs w:val="24"/>
        </w:rPr>
        <w:t xml:space="preserve">change </w:t>
      </w:r>
      <w:r w:rsidR="005B7EAC" w:rsidRPr="00B1350E">
        <w:rPr>
          <w:rFonts w:ascii="Arial" w:hAnsi="Arial" w:cs="Arial"/>
          <w:sz w:val="24"/>
          <w:szCs w:val="24"/>
        </w:rPr>
        <w:t xml:space="preserve">into </w:t>
      </w:r>
      <w:r w:rsidR="008B1D8F" w:rsidRPr="00B1350E">
        <w:rPr>
          <w:rFonts w:ascii="Arial" w:hAnsi="Arial" w:cs="Arial"/>
          <w:sz w:val="24"/>
          <w:szCs w:val="24"/>
        </w:rPr>
        <w:t xml:space="preserve">five </w:t>
      </w:r>
      <w:r w:rsidR="005B7EAC" w:rsidRPr="00B1350E">
        <w:rPr>
          <w:rFonts w:ascii="Arial" w:hAnsi="Arial" w:cs="Arial"/>
          <w:sz w:val="24"/>
          <w:szCs w:val="24"/>
        </w:rPr>
        <w:t>steps</w:t>
      </w:r>
      <w:r w:rsidR="008B1D8F" w:rsidRPr="00B1350E">
        <w:rPr>
          <w:rFonts w:ascii="Arial" w:hAnsi="Arial" w:cs="Arial"/>
          <w:sz w:val="24"/>
          <w:szCs w:val="24"/>
        </w:rPr>
        <w:t xml:space="preserve">. First, an individual </w:t>
      </w:r>
      <w:r w:rsidR="005B7EAC" w:rsidRPr="00B1350E">
        <w:rPr>
          <w:rFonts w:ascii="Arial" w:hAnsi="Arial" w:cs="Arial"/>
          <w:sz w:val="24"/>
          <w:szCs w:val="24"/>
        </w:rPr>
        <w:t>becomes</w:t>
      </w:r>
      <w:r w:rsidR="008B1D8F" w:rsidRPr="00B1350E">
        <w:rPr>
          <w:rFonts w:ascii="Arial" w:hAnsi="Arial" w:cs="Arial"/>
          <w:sz w:val="24"/>
          <w:szCs w:val="24"/>
        </w:rPr>
        <w:t xml:space="preserve"> aware of </w:t>
      </w:r>
      <w:r w:rsidR="005B7EAC" w:rsidRPr="00B1350E">
        <w:rPr>
          <w:rFonts w:ascii="Arial" w:hAnsi="Arial" w:cs="Arial"/>
          <w:sz w:val="24"/>
          <w:szCs w:val="24"/>
        </w:rPr>
        <w:t xml:space="preserve">desirable </w:t>
      </w:r>
      <w:r w:rsidR="008B1D8F" w:rsidRPr="00B1350E">
        <w:rPr>
          <w:rFonts w:ascii="Arial" w:hAnsi="Arial" w:cs="Arial"/>
          <w:i/>
          <w:sz w:val="24"/>
          <w:szCs w:val="24"/>
        </w:rPr>
        <w:t>knowledge</w:t>
      </w:r>
      <w:r w:rsidR="008B1D8F" w:rsidRPr="00B1350E">
        <w:rPr>
          <w:rFonts w:ascii="Arial" w:hAnsi="Arial" w:cs="Arial"/>
          <w:sz w:val="24"/>
          <w:szCs w:val="24"/>
        </w:rPr>
        <w:t>.</w:t>
      </w:r>
      <w:r w:rsidR="002B088F" w:rsidRPr="00B1350E">
        <w:rPr>
          <w:rFonts w:ascii="Arial" w:hAnsi="Arial" w:cs="Arial"/>
          <w:sz w:val="24"/>
          <w:szCs w:val="24"/>
        </w:rPr>
        <w:t xml:space="preserve"> </w:t>
      </w:r>
      <w:r w:rsidR="008B1D8F" w:rsidRPr="00B1350E">
        <w:rPr>
          <w:rFonts w:ascii="Arial" w:hAnsi="Arial" w:cs="Arial"/>
          <w:sz w:val="24"/>
          <w:szCs w:val="24"/>
        </w:rPr>
        <w:t xml:space="preserve"> Then this person </w:t>
      </w:r>
      <w:r w:rsidR="005B7EAC" w:rsidRPr="00B1350E">
        <w:rPr>
          <w:rFonts w:ascii="Arial" w:hAnsi="Arial" w:cs="Arial"/>
          <w:sz w:val="24"/>
          <w:szCs w:val="24"/>
        </w:rPr>
        <w:t>must</w:t>
      </w:r>
      <w:r w:rsidR="008B1D8F" w:rsidRPr="00B1350E">
        <w:rPr>
          <w:rFonts w:ascii="Arial" w:hAnsi="Arial" w:cs="Arial"/>
          <w:sz w:val="24"/>
          <w:szCs w:val="24"/>
        </w:rPr>
        <w:t xml:space="preserve"> be </w:t>
      </w:r>
      <w:r w:rsidR="008B1D8F" w:rsidRPr="00B1350E">
        <w:rPr>
          <w:rFonts w:ascii="Arial" w:hAnsi="Arial" w:cs="Arial"/>
          <w:i/>
          <w:sz w:val="24"/>
          <w:szCs w:val="24"/>
        </w:rPr>
        <w:t>persuaded</w:t>
      </w:r>
      <w:r w:rsidR="008B1D8F" w:rsidRPr="00B1350E">
        <w:rPr>
          <w:rFonts w:ascii="Arial" w:hAnsi="Arial" w:cs="Arial"/>
          <w:sz w:val="24"/>
          <w:szCs w:val="24"/>
        </w:rPr>
        <w:t xml:space="preserve"> </w:t>
      </w:r>
      <w:r w:rsidR="00441496" w:rsidRPr="00B1350E">
        <w:rPr>
          <w:rFonts w:ascii="Arial" w:hAnsi="Arial" w:cs="Arial"/>
          <w:sz w:val="24"/>
          <w:szCs w:val="24"/>
        </w:rPr>
        <w:t>of its value</w:t>
      </w:r>
      <w:r w:rsidR="008B1D8F" w:rsidRPr="00B1350E">
        <w:rPr>
          <w:rFonts w:ascii="Arial" w:hAnsi="Arial" w:cs="Arial"/>
          <w:sz w:val="24"/>
          <w:szCs w:val="24"/>
        </w:rPr>
        <w:t xml:space="preserve">. Once persuaded, the person must </w:t>
      </w:r>
      <w:r w:rsidR="005B7EAC" w:rsidRPr="00B1350E">
        <w:rPr>
          <w:rFonts w:ascii="Arial" w:hAnsi="Arial" w:cs="Arial"/>
          <w:i/>
          <w:sz w:val="24"/>
          <w:szCs w:val="24"/>
        </w:rPr>
        <w:t>decide</w:t>
      </w:r>
      <w:r w:rsidR="005B7EAC" w:rsidRPr="00B1350E">
        <w:rPr>
          <w:rFonts w:ascii="Arial" w:hAnsi="Arial" w:cs="Arial"/>
          <w:sz w:val="24"/>
          <w:szCs w:val="24"/>
        </w:rPr>
        <w:t xml:space="preserve"> </w:t>
      </w:r>
      <w:r w:rsidR="008B1D8F" w:rsidRPr="00B1350E">
        <w:rPr>
          <w:rFonts w:ascii="Arial" w:hAnsi="Arial" w:cs="Arial"/>
          <w:sz w:val="24"/>
          <w:szCs w:val="24"/>
        </w:rPr>
        <w:t>to access it (</w:t>
      </w:r>
      <w:r w:rsidR="00441496" w:rsidRPr="00B1350E">
        <w:rPr>
          <w:rFonts w:ascii="Arial" w:hAnsi="Arial" w:cs="Arial"/>
          <w:sz w:val="24"/>
          <w:szCs w:val="24"/>
        </w:rPr>
        <w:t>e.g.</w:t>
      </w:r>
      <w:r w:rsidR="005B7EAC" w:rsidRPr="00B1350E">
        <w:rPr>
          <w:rFonts w:ascii="Arial" w:hAnsi="Arial" w:cs="Arial"/>
          <w:sz w:val="24"/>
          <w:szCs w:val="24"/>
        </w:rPr>
        <w:t>,</w:t>
      </w:r>
      <w:r w:rsidR="008B1D8F" w:rsidRPr="00B1350E">
        <w:rPr>
          <w:rFonts w:ascii="Arial" w:hAnsi="Arial" w:cs="Arial"/>
          <w:sz w:val="24"/>
          <w:szCs w:val="24"/>
        </w:rPr>
        <w:t xml:space="preserve"> through program participation).  Afterwards, the person must </w:t>
      </w:r>
      <w:r w:rsidR="008B1D8F" w:rsidRPr="00B1350E">
        <w:rPr>
          <w:rFonts w:ascii="Arial" w:hAnsi="Arial" w:cs="Arial"/>
          <w:i/>
          <w:sz w:val="24"/>
          <w:szCs w:val="24"/>
        </w:rPr>
        <w:t>implement</w:t>
      </w:r>
      <w:r w:rsidR="008B1D8F" w:rsidRPr="00B1350E">
        <w:rPr>
          <w:rFonts w:ascii="Arial" w:hAnsi="Arial" w:cs="Arial"/>
          <w:sz w:val="24"/>
          <w:szCs w:val="24"/>
        </w:rPr>
        <w:t xml:space="preserve"> the knowledge (i.e.</w:t>
      </w:r>
      <w:r w:rsidR="005B7EAC" w:rsidRPr="00B1350E">
        <w:rPr>
          <w:rFonts w:ascii="Arial" w:hAnsi="Arial" w:cs="Arial"/>
          <w:sz w:val="24"/>
          <w:szCs w:val="24"/>
        </w:rPr>
        <w:t>,</w:t>
      </w:r>
      <w:r w:rsidR="008B1D8F" w:rsidRPr="00B1350E">
        <w:rPr>
          <w:rFonts w:ascii="Arial" w:hAnsi="Arial" w:cs="Arial"/>
          <w:sz w:val="24"/>
          <w:szCs w:val="24"/>
        </w:rPr>
        <w:t xml:space="preserve"> apply it) </w:t>
      </w:r>
      <w:r w:rsidR="005B7EAC" w:rsidRPr="00B1350E">
        <w:rPr>
          <w:rFonts w:ascii="Arial" w:hAnsi="Arial" w:cs="Arial"/>
          <w:sz w:val="24"/>
          <w:szCs w:val="24"/>
        </w:rPr>
        <w:t xml:space="preserve">to validate </w:t>
      </w:r>
      <w:r w:rsidR="00441496" w:rsidRPr="00B1350E">
        <w:rPr>
          <w:rFonts w:ascii="Arial" w:hAnsi="Arial" w:cs="Arial"/>
          <w:sz w:val="24"/>
          <w:szCs w:val="24"/>
        </w:rPr>
        <w:t xml:space="preserve">usefulness </w:t>
      </w:r>
      <w:r w:rsidR="00266476" w:rsidRPr="00B1350E">
        <w:rPr>
          <w:rFonts w:ascii="Arial" w:hAnsi="Arial" w:cs="Arial"/>
          <w:sz w:val="24"/>
          <w:szCs w:val="24"/>
        </w:rPr>
        <w:t>to</w:t>
      </w:r>
      <w:r w:rsidR="008B1D8F" w:rsidRPr="00B1350E">
        <w:rPr>
          <w:rFonts w:ascii="Arial" w:hAnsi="Arial" w:cs="Arial"/>
          <w:sz w:val="24"/>
          <w:szCs w:val="24"/>
        </w:rPr>
        <w:t xml:space="preserve"> his/her circumstance.  If the net benefit is positive, the individual ultimately </w:t>
      </w:r>
      <w:r w:rsidR="008B1D8F" w:rsidRPr="00B1350E">
        <w:rPr>
          <w:rFonts w:ascii="Arial" w:hAnsi="Arial" w:cs="Arial"/>
          <w:i/>
          <w:sz w:val="24"/>
          <w:szCs w:val="24"/>
        </w:rPr>
        <w:t>confirm</w:t>
      </w:r>
      <w:r w:rsidR="005B7EAC" w:rsidRPr="00B1350E">
        <w:rPr>
          <w:rFonts w:ascii="Arial" w:hAnsi="Arial" w:cs="Arial"/>
          <w:i/>
          <w:sz w:val="24"/>
          <w:szCs w:val="24"/>
        </w:rPr>
        <w:t>s</w:t>
      </w:r>
      <w:r w:rsidR="008B1D8F" w:rsidRPr="00B1350E">
        <w:rPr>
          <w:rFonts w:ascii="Arial" w:hAnsi="Arial" w:cs="Arial"/>
          <w:sz w:val="24"/>
          <w:szCs w:val="24"/>
        </w:rPr>
        <w:t xml:space="preserve"> </w:t>
      </w:r>
      <w:r w:rsidR="000E4D43" w:rsidRPr="00B1350E">
        <w:rPr>
          <w:rFonts w:ascii="Arial" w:hAnsi="Arial" w:cs="Arial"/>
          <w:sz w:val="24"/>
          <w:szCs w:val="24"/>
        </w:rPr>
        <w:t>its personal value a</w:t>
      </w:r>
      <w:r w:rsidR="008B1D8F" w:rsidRPr="00B1350E">
        <w:rPr>
          <w:rFonts w:ascii="Arial" w:hAnsi="Arial" w:cs="Arial"/>
          <w:sz w:val="24"/>
          <w:szCs w:val="24"/>
        </w:rPr>
        <w:t>nd adopt</w:t>
      </w:r>
      <w:r w:rsidR="005B7EAC" w:rsidRPr="00B1350E">
        <w:rPr>
          <w:rFonts w:ascii="Arial" w:hAnsi="Arial" w:cs="Arial"/>
          <w:sz w:val="24"/>
          <w:szCs w:val="24"/>
        </w:rPr>
        <w:t>s</w:t>
      </w:r>
      <w:r w:rsidR="008B1D8F" w:rsidRPr="00B1350E">
        <w:rPr>
          <w:rFonts w:ascii="Arial" w:hAnsi="Arial" w:cs="Arial"/>
          <w:sz w:val="24"/>
          <w:szCs w:val="24"/>
        </w:rPr>
        <w:t xml:space="preserve"> the desired behavioral change.  </w:t>
      </w:r>
      <w:r w:rsidR="0008695D" w:rsidRPr="00B1350E">
        <w:rPr>
          <w:rFonts w:ascii="Arial" w:hAnsi="Arial" w:cs="Arial"/>
          <w:sz w:val="24"/>
          <w:szCs w:val="24"/>
        </w:rPr>
        <w:t xml:space="preserve">In short, this model suggests that any program seeking to benefit individuals through </w:t>
      </w:r>
      <w:r w:rsidR="0008695D" w:rsidRPr="00B1350E">
        <w:rPr>
          <w:rFonts w:ascii="Arial" w:hAnsi="Arial" w:cs="Arial"/>
          <w:i/>
          <w:sz w:val="24"/>
          <w:szCs w:val="24"/>
        </w:rPr>
        <w:t>knowledge</w:t>
      </w:r>
      <w:r w:rsidR="0008695D" w:rsidRPr="00B1350E">
        <w:rPr>
          <w:rFonts w:ascii="Arial" w:hAnsi="Arial" w:cs="Arial"/>
          <w:sz w:val="24"/>
          <w:szCs w:val="24"/>
        </w:rPr>
        <w:t xml:space="preserve"> must first persuade them that acquiring the knowledge is worthwhile</w:t>
      </w:r>
      <w:r w:rsidR="006759E4" w:rsidRPr="00B1350E">
        <w:rPr>
          <w:rFonts w:ascii="Arial" w:hAnsi="Arial" w:cs="Arial"/>
          <w:sz w:val="24"/>
          <w:szCs w:val="24"/>
        </w:rPr>
        <w:t>, and then</w:t>
      </w:r>
      <w:r w:rsidR="0008695D" w:rsidRPr="00B1350E">
        <w:rPr>
          <w:rFonts w:ascii="Arial" w:hAnsi="Arial" w:cs="Arial"/>
          <w:sz w:val="24"/>
          <w:szCs w:val="24"/>
        </w:rPr>
        <w:t xml:space="preserve"> hope the individual decides it is </w:t>
      </w:r>
      <w:r w:rsidR="005B7EAC" w:rsidRPr="00B1350E">
        <w:rPr>
          <w:rFonts w:ascii="Arial" w:hAnsi="Arial" w:cs="Arial"/>
          <w:sz w:val="24"/>
          <w:szCs w:val="24"/>
        </w:rPr>
        <w:t>valuable enough</w:t>
      </w:r>
      <w:r w:rsidR="0008695D" w:rsidRPr="00B1350E">
        <w:rPr>
          <w:rFonts w:ascii="Arial" w:hAnsi="Arial" w:cs="Arial"/>
          <w:sz w:val="24"/>
          <w:szCs w:val="24"/>
        </w:rPr>
        <w:t xml:space="preserve"> to sustain it </w:t>
      </w:r>
      <w:r w:rsidR="005B7EAC" w:rsidRPr="00B1350E">
        <w:rPr>
          <w:rFonts w:ascii="Arial" w:hAnsi="Arial" w:cs="Arial"/>
          <w:sz w:val="24"/>
          <w:szCs w:val="24"/>
        </w:rPr>
        <w:t xml:space="preserve">through a </w:t>
      </w:r>
      <w:r w:rsidR="0008695D" w:rsidRPr="00B1350E">
        <w:rPr>
          <w:rFonts w:ascii="Arial" w:hAnsi="Arial" w:cs="Arial"/>
          <w:sz w:val="24"/>
          <w:szCs w:val="24"/>
        </w:rPr>
        <w:t>behavioral change.</w:t>
      </w:r>
    </w:p>
    <w:p w:rsidR="008B1D8F" w:rsidRPr="00B1350E" w:rsidRDefault="005B7EAC"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T</w:t>
      </w:r>
      <w:r w:rsidR="008B1D8F" w:rsidRPr="00B1350E">
        <w:rPr>
          <w:rFonts w:ascii="Arial" w:hAnsi="Arial" w:cs="Arial"/>
          <w:sz w:val="24"/>
          <w:szCs w:val="24"/>
        </w:rPr>
        <w:t xml:space="preserve">here </w:t>
      </w:r>
      <w:r w:rsidR="00441496" w:rsidRPr="00B1350E">
        <w:rPr>
          <w:rFonts w:ascii="Arial" w:hAnsi="Arial" w:cs="Arial"/>
          <w:sz w:val="24"/>
          <w:szCs w:val="24"/>
        </w:rPr>
        <w:t xml:space="preserve">are </w:t>
      </w:r>
      <w:r w:rsidR="008B1D8F" w:rsidRPr="00B1350E">
        <w:rPr>
          <w:rFonts w:ascii="Arial" w:hAnsi="Arial" w:cs="Arial"/>
          <w:sz w:val="24"/>
          <w:szCs w:val="24"/>
        </w:rPr>
        <w:t>other</w:t>
      </w:r>
      <w:r w:rsidRPr="00B1350E">
        <w:rPr>
          <w:rFonts w:ascii="Arial" w:hAnsi="Arial" w:cs="Arial"/>
          <w:sz w:val="24"/>
          <w:szCs w:val="24"/>
        </w:rPr>
        <w:t xml:space="preserve"> </w:t>
      </w:r>
      <w:r w:rsidR="004B764F" w:rsidRPr="00B1350E">
        <w:rPr>
          <w:rFonts w:ascii="Arial" w:hAnsi="Arial" w:cs="Arial"/>
          <w:sz w:val="24"/>
          <w:szCs w:val="24"/>
        </w:rPr>
        <w:t>applicable</w:t>
      </w:r>
      <w:r w:rsidRPr="00B1350E">
        <w:rPr>
          <w:rFonts w:ascii="Arial" w:hAnsi="Arial" w:cs="Arial"/>
          <w:sz w:val="24"/>
          <w:szCs w:val="24"/>
        </w:rPr>
        <w:t xml:space="preserve"> theories beyond</w:t>
      </w:r>
      <w:r w:rsidR="008B1D8F" w:rsidRPr="00B1350E">
        <w:rPr>
          <w:rFonts w:ascii="Arial" w:hAnsi="Arial" w:cs="Arial"/>
          <w:sz w:val="24"/>
          <w:szCs w:val="24"/>
        </w:rPr>
        <w:t xml:space="preserve"> KAB and diffusion.  Using insights from strategic planning </w:t>
      </w:r>
      <w:r w:rsidR="0033306B" w:rsidRPr="00B1350E">
        <w:rPr>
          <w:rFonts w:ascii="Arial" w:hAnsi="Arial" w:cs="Arial"/>
          <w:sz w:val="24"/>
          <w:szCs w:val="24"/>
        </w:rPr>
        <w:t xml:space="preserve">theory </w:t>
      </w:r>
      <w:r w:rsidR="008B1D8F" w:rsidRPr="00B1350E">
        <w:rPr>
          <w:rFonts w:ascii="Arial" w:hAnsi="Arial" w:cs="Arial"/>
          <w:sz w:val="24"/>
          <w:szCs w:val="24"/>
        </w:rPr>
        <w:t xml:space="preserve">(see, </w:t>
      </w:r>
      <w:r w:rsidRPr="00B1350E">
        <w:rPr>
          <w:rFonts w:ascii="Arial" w:hAnsi="Arial" w:cs="Arial"/>
          <w:sz w:val="24"/>
          <w:szCs w:val="24"/>
        </w:rPr>
        <w:t>e.g.,</w:t>
      </w:r>
      <w:r w:rsidR="008B1D8F" w:rsidRPr="00B1350E">
        <w:rPr>
          <w:rFonts w:ascii="Arial" w:hAnsi="Arial" w:cs="Arial"/>
          <w:sz w:val="24"/>
          <w:szCs w:val="24"/>
        </w:rPr>
        <w:t xml:space="preserve"> Bryson, 200</w:t>
      </w:r>
      <w:r w:rsidR="001E1379">
        <w:rPr>
          <w:rFonts w:ascii="Arial" w:hAnsi="Arial" w:cs="Arial"/>
          <w:sz w:val="24"/>
          <w:szCs w:val="24"/>
        </w:rPr>
        <w:t>4</w:t>
      </w:r>
      <w:r w:rsidR="008B1D8F" w:rsidRPr="00B1350E">
        <w:rPr>
          <w:rFonts w:ascii="Arial" w:hAnsi="Arial" w:cs="Arial"/>
          <w:sz w:val="24"/>
          <w:szCs w:val="24"/>
        </w:rPr>
        <w:t xml:space="preserve">), program </w:t>
      </w:r>
      <w:r w:rsidR="009D291F" w:rsidRPr="00B1350E">
        <w:rPr>
          <w:rFonts w:ascii="Arial" w:hAnsi="Arial" w:cs="Arial"/>
          <w:sz w:val="24"/>
          <w:szCs w:val="24"/>
        </w:rPr>
        <w:t>staff contend</w:t>
      </w:r>
      <w:r w:rsidR="008B1D8F" w:rsidRPr="00B1350E">
        <w:rPr>
          <w:rFonts w:ascii="Arial" w:hAnsi="Arial" w:cs="Arial"/>
          <w:sz w:val="24"/>
          <w:szCs w:val="24"/>
        </w:rPr>
        <w:t xml:space="preserve"> with influences outside direct </w:t>
      </w:r>
      <w:r w:rsidRPr="00B1350E">
        <w:rPr>
          <w:rFonts w:ascii="Arial" w:hAnsi="Arial" w:cs="Arial"/>
          <w:sz w:val="24"/>
          <w:szCs w:val="24"/>
        </w:rPr>
        <w:t xml:space="preserve">organizational </w:t>
      </w:r>
      <w:r w:rsidR="008B1D8F" w:rsidRPr="00B1350E">
        <w:rPr>
          <w:rFonts w:ascii="Arial" w:hAnsi="Arial" w:cs="Arial"/>
          <w:sz w:val="24"/>
          <w:szCs w:val="24"/>
        </w:rPr>
        <w:t>control</w:t>
      </w:r>
      <w:r w:rsidR="0033306B" w:rsidRPr="00B1350E">
        <w:rPr>
          <w:rFonts w:ascii="Arial" w:hAnsi="Arial" w:cs="Arial"/>
          <w:sz w:val="24"/>
          <w:szCs w:val="24"/>
        </w:rPr>
        <w:t xml:space="preserve"> (external influences)</w:t>
      </w:r>
      <w:r w:rsidR="008B1D8F" w:rsidRPr="00B1350E">
        <w:rPr>
          <w:rFonts w:ascii="Arial" w:hAnsi="Arial" w:cs="Arial"/>
          <w:sz w:val="24"/>
          <w:szCs w:val="24"/>
        </w:rPr>
        <w:t xml:space="preserve"> in seeking to </w:t>
      </w:r>
      <w:r w:rsidR="0033306B" w:rsidRPr="00B1350E">
        <w:rPr>
          <w:rFonts w:ascii="Arial" w:hAnsi="Arial" w:cs="Arial"/>
          <w:sz w:val="24"/>
          <w:szCs w:val="24"/>
        </w:rPr>
        <w:t xml:space="preserve">affect </w:t>
      </w:r>
      <w:r w:rsidR="008B1D8F" w:rsidRPr="00B1350E">
        <w:rPr>
          <w:rFonts w:ascii="Arial" w:hAnsi="Arial" w:cs="Arial"/>
          <w:sz w:val="24"/>
          <w:szCs w:val="24"/>
        </w:rPr>
        <w:t xml:space="preserve">target populations.  </w:t>
      </w:r>
      <w:r w:rsidR="006651B7" w:rsidRPr="00B1350E">
        <w:rPr>
          <w:rFonts w:ascii="Arial" w:hAnsi="Arial" w:cs="Arial"/>
          <w:sz w:val="24"/>
          <w:szCs w:val="24"/>
        </w:rPr>
        <w:t>These</w:t>
      </w:r>
      <w:r w:rsidR="008B1D8F" w:rsidRPr="00B1350E">
        <w:rPr>
          <w:rFonts w:ascii="Arial" w:hAnsi="Arial" w:cs="Arial"/>
          <w:sz w:val="24"/>
          <w:szCs w:val="24"/>
        </w:rPr>
        <w:t xml:space="preserve"> </w:t>
      </w:r>
      <w:r w:rsidR="00F13906" w:rsidRPr="00B1350E">
        <w:rPr>
          <w:rFonts w:ascii="Arial" w:hAnsi="Arial" w:cs="Arial"/>
          <w:sz w:val="24"/>
          <w:szCs w:val="24"/>
        </w:rPr>
        <w:t>involve</w:t>
      </w:r>
      <w:r w:rsidR="008B1D8F" w:rsidRPr="00B1350E">
        <w:rPr>
          <w:rFonts w:ascii="Arial" w:hAnsi="Arial" w:cs="Arial"/>
          <w:sz w:val="24"/>
          <w:szCs w:val="24"/>
        </w:rPr>
        <w:t xml:space="preserve"> “opportunities” and “threats” </w:t>
      </w:r>
      <w:r w:rsidR="002B088F" w:rsidRPr="00B1350E">
        <w:rPr>
          <w:rFonts w:ascii="Arial" w:hAnsi="Arial" w:cs="Arial"/>
          <w:sz w:val="24"/>
          <w:szCs w:val="24"/>
        </w:rPr>
        <w:t>(or “barriers</w:t>
      </w:r>
      <w:r w:rsidR="009E37EE">
        <w:rPr>
          <w:rFonts w:ascii="Arial" w:hAnsi="Arial" w:cs="Arial"/>
          <w:sz w:val="24"/>
          <w:szCs w:val="24"/>
        </w:rPr>
        <w:t>”</w:t>
      </w:r>
      <w:r w:rsidR="002B088F" w:rsidRPr="00B1350E">
        <w:rPr>
          <w:rFonts w:ascii="Arial" w:hAnsi="Arial" w:cs="Arial"/>
          <w:sz w:val="24"/>
          <w:szCs w:val="24"/>
        </w:rPr>
        <w:t xml:space="preserve">). </w:t>
      </w:r>
      <w:r w:rsidR="0033306B" w:rsidRPr="00B1350E">
        <w:rPr>
          <w:rFonts w:ascii="Arial" w:hAnsi="Arial" w:cs="Arial"/>
          <w:sz w:val="24"/>
          <w:szCs w:val="24"/>
        </w:rPr>
        <w:t xml:space="preserve"> </w:t>
      </w:r>
      <w:r w:rsidRPr="00B1350E">
        <w:rPr>
          <w:rFonts w:ascii="Arial" w:hAnsi="Arial" w:cs="Arial"/>
          <w:sz w:val="24"/>
          <w:szCs w:val="24"/>
        </w:rPr>
        <w:t>C</w:t>
      </w:r>
      <w:r w:rsidR="008B1D8F" w:rsidRPr="00B1350E">
        <w:rPr>
          <w:rFonts w:ascii="Arial" w:hAnsi="Arial" w:cs="Arial"/>
          <w:sz w:val="24"/>
          <w:szCs w:val="24"/>
        </w:rPr>
        <w:t xml:space="preserve">onsider again </w:t>
      </w:r>
      <w:r w:rsidR="0033306B" w:rsidRPr="00B1350E">
        <w:rPr>
          <w:rFonts w:ascii="Arial" w:hAnsi="Arial" w:cs="Arial"/>
          <w:sz w:val="24"/>
          <w:szCs w:val="24"/>
        </w:rPr>
        <w:t xml:space="preserve">a </w:t>
      </w:r>
      <w:r w:rsidR="008B1D8F" w:rsidRPr="00B1350E">
        <w:rPr>
          <w:rFonts w:ascii="Arial" w:hAnsi="Arial" w:cs="Arial"/>
          <w:sz w:val="24"/>
          <w:szCs w:val="24"/>
        </w:rPr>
        <w:t>library early child</w:t>
      </w:r>
      <w:r w:rsidR="0033306B" w:rsidRPr="00B1350E">
        <w:rPr>
          <w:rFonts w:ascii="Arial" w:hAnsi="Arial" w:cs="Arial"/>
          <w:sz w:val="24"/>
          <w:szCs w:val="24"/>
        </w:rPr>
        <w:t>hood</w:t>
      </w:r>
      <w:r w:rsidR="008B1D8F" w:rsidRPr="00B1350E">
        <w:rPr>
          <w:rFonts w:ascii="Arial" w:hAnsi="Arial" w:cs="Arial"/>
          <w:sz w:val="24"/>
          <w:szCs w:val="24"/>
        </w:rPr>
        <w:t xml:space="preserve"> literacy program.  Even if program staff appropriately target a group of families who </w:t>
      </w:r>
      <w:r w:rsidRPr="00B1350E">
        <w:rPr>
          <w:rFonts w:ascii="Arial" w:hAnsi="Arial" w:cs="Arial"/>
          <w:sz w:val="24"/>
          <w:szCs w:val="24"/>
        </w:rPr>
        <w:t xml:space="preserve">could </w:t>
      </w:r>
      <w:r w:rsidR="008B1D8F" w:rsidRPr="00B1350E">
        <w:rPr>
          <w:rFonts w:ascii="Arial" w:hAnsi="Arial" w:cs="Arial"/>
          <w:sz w:val="24"/>
          <w:szCs w:val="24"/>
        </w:rPr>
        <w:t xml:space="preserve">greatly benefit from </w:t>
      </w:r>
      <w:r w:rsidR="0033306B" w:rsidRPr="00B1350E">
        <w:rPr>
          <w:rFonts w:ascii="Arial" w:hAnsi="Arial" w:cs="Arial"/>
          <w:sz w:val="24"/>
          <w:szCs w:val="24"/>
        </w:rPr>
        <w:t>such</w:t>
      </w:r>
      <w:r w:rsidR="008B1D8F" w:rsidRPr="00B1350E">
        <w:rPr>
          <w:rFonts w:ascii="Arial" w:hAnsi="Arial" w:cs="Arial"/>
          <w:sz w:val="24"/>
          <w:szCs w:val="24"/>
        </w:rPr>
        <w:t xml:space="preserve"> service, </w:t>
      </w:r>
      <w:r w:rsidR="0033306B" w:rsidRPr="00B1350E">
        <w:rPr>
          <w:rFonts w:ascii="Arial" w:hAnsi="Arial" w:cs="Arial"/>
          <w:sz w:val="24"/>
          <w:szCs w:val="24"/>
        </w:rPr>
        <w:t xml:space="preserve">that </w:t>
      </w:r>
      <w:r w:rsidR="008B1D8F" w:rsidRPr="00B1350E">
        <w:rPr>
          <w:rFonts w:ascii="Arial" w:hAnsi="Arial" w:cs="Arial"/>
          <w:sz w:val="24"/>
          <w:szCs w:val="24"/>
        </w:rPr>
        <w:t xml:space="preserve">group may not participate even if they </w:t>
      </w:r>
      <w:r w:rsidRPr="00B1350E">
        <w:rPr>
          <w:rFonts w:ascii="Arial" w:hAnsi="Arial" w:cs="Arial"/>
          <w:sz w:val="24"/>
          <w:szCs w:val="24"/>
        </w:rPr>
        <w:t>agree gains will result</w:t>
      </w:r>
      <w:r w:rsidR="008B1D8F" w:rsidRPr="00B1350E">
        <w:rPr>
          <w:rFonts w:ascii="Arial" w:hAnsi="Arial" w:cs="Arial"/>
          <w:sz w:val="24"/>
          <w:szCs w:val="24"/>
        </w:rPr>
        <w:t xml:space="preserve">.  Their reasons may </w:t>
      </w:r>
      <w:r w:rsidR="00F13906" w:rsidRPr="00B1350E">
        <w:rPr>
          <w:rFonts w:ascii="Arial" w:hAnsi="Arial" w:cs="Arial"/>
          <w:sz w:val="24"/>
          <w:szCs w:val="24"/>
        </w:rPr>
        <w:t xml:space="preserve">not be irrational but </w:t>
      </w:r>
      <w:r w:rsidR="008B1D8F" w:rsidRPr="00B1350E">
        <w:rPr>
          <w:rFonts w:ascii="Arial" w:hAnsi="Arial" w:cs="Arial"/>
          <w:sz w:val="24"/>
          <w:szCs w:val="24"/>
        </w:rPr>
        <w:t xml:space="preserve">reflect </w:t>
      </w:r>
      <w:r w:rsidR="00F13906" w:rsidRPr="00B1350E">
        <w:rPr>
          <w:rFonts w:ascii="Arial" w:hAnsi="Arial" w:cs="Arial"/>
          <w:sz w:val="24"/>
          <w:szCs w:val="24"/>
        </w:rPr>
        <w:t xml:space="preserve">perceived </w:t>
      </w:r>
      <w:r w:rsidR="008B1D8F" w:rsidRPr="00B1350E">
        <w:rPr>
          <w:rFonts w:ascii="Arial" w:hAnsi="Arial" w:cs="Arial"/>
          <w:sz w:val="24"/>
          <w:szCs w:val="24"/>
        </w:rPr>
        <w:t xml:space="preserve">barriers </w:t>
      </w:r>
      <w:r w:rsidRPr="00B1350E">
        <w:rPr>
          <w:rFonts w:ascii="Arial" w:hAnsi="Arial" w:cs="Arial"/>
          <w:sz w:val="24"/>
          <w:szCs w:val="24"/>
        </w:rPr>
        <w:t xml:space="preserve">like practical </w:t>
      </w:r>
      <w:r w:rsidR="008B1D8F" w:rsidRPr="00B1350E">
        <w:rPr>
          <w:rFonts w:ascii="Arial" w:hAnsi="Arial" w:cs="Arial"/>
          <w:sz w:val="24"/>
          <w:szCs w:val="24"/>
        </w:rPr>
        <w:t>transportation access or child care constraints</w:t>
      </w:r>
      <w:r w:rsidRPr="00B1350E">
        <w:rPr>
          <w:rFonts w:ascii="Arial" w:hAnsi="Arial" w:cs="Arial"/>
          <w:sz w:val="24"/>
          <w:szCs w:val="24"/>
        </w:rPr>
        <w:t xml:space="preserve">.  </w:t>
      </w:r>
      <w:r w:rsidR="00F13906" w:rsidRPr="00B1350E">
        <w:rPr>
          <w:rFonts w:ascii="Arial" w:hAnsi="Arial" w:cs="Arial"/>
          <w:sz w:val="24"/>
          <w:szCs w:val="24"/>
        </w:rPr>
        <w:t xml:space="preserve">Conversely, </w:t>
      </w:r>
      <w:r w:rsidR="006651B7" w:rsidRPr="00B1350E">
        <w:rPr>
          <w:rFonts w:ascii="Arial" w:hAnsi="Arial" w:cs="Arial"/>
          <w:sz w:val="24"/>
          <w:szCs w:val="24"/>
        </w:rPr>
        <w:t>innovations</w:t>
      </w:r>
      <w:r w:rsidR="008B1D8F" w:rsidRPr="00B1350E">
        <w:rPr>
          <w:rFonts w:ascii="Arial" w:hAnsi="Arial" w:cs="Arial"/>
          <w:sz w:val="24"/>
          <w:szCs w:val="24"/>
        </w:rPr>
        <w:t xml:space="preserve"> in information technology may offer new opportunities for</w:t>
      </w:r>
      <w:r w:rsidR="00555C21" w:rsidRPr="00B1350E">
        <w:rPr>
          <w:rFonts w:ascii="Arial" w:hAnsi="Arial" w:cs="Arial"/>
          <w:sz w:val="24"/>
          <w:szCs w:val="24"/>
        </w:rPr>
        <w:t xml:space="preserve"> </w:t>
      </w:r>
      <w:r w:rsidR="00F13906" w:rsidRPr="00B1350E">
        <w:rPr>
          <w:rFonts w:ascii="Arial" w:hAnsi="Arial" w:cs="Arial"/>
          <w:sz w:val="24"/>
          <w:szCs w:val="24"/>
        </w:rPr>
        <w:t xml:space="preserve">participation in </w:t>
      </w:r>
      <w:r w:rsidR="00266476" w:rsidRPr="00B1350E">
        <w:rPr>
          <w:rFonts w:ascii="Arial" w:hAnsi="Arial" w:cs="Arial"/>
          <w:sz w:val="24"/>
          <w:szCs w:val="24"/>
        </w:rPr>
        <w:t xml:space="preserve">childhood </w:t>
      </w:r>
      <w:r w:rsidR="00340199" w:rsidRPr="00B1350E">
        <w:rPr>
          <w:rFonts w:ascii="Arial" w:hAnsi="Arial" w:cs="Arial"/>
          <w:sz w:val="24"/>
          <w:szCs w:val="24"/>
        </w:rPr>
        <w:t>literacy program</w:t>
      </w:r>
      <w:r w:rsidR="002B088F" w:rsidRPr="00B1350E">
        <w:rPr>
          <w:rFonts w:ascii="Arial" w:hAnsi="Arial" w:cs="Arial"/>
          <w:sz w:val="24"/>
          <w:szCs w:val="24"/>
        </w:rPr>
        <w:t>s</w:t>
      </w:r>
      <w:r w:rsidR="00555C21" w:rsidRPr="00B1350E">
        <w:rPr>
          <w:rFonts w:ascii="Arial" w:hAnsi="Arial" w:cs="Arial"/>
          <w:sz w:val="24"/>
          <w:szCs w:val="24"/>
        </w:rPr>
        <w:t xml:space="preserve">, </w:t>
      </w:r>
      <w:r w:rsidR="0033306B" w:rsidRPr="00B1350E">
        <w:rPr>
          <w:rFonts w:ascii="Arial" w:hAnsi="Arial" w:cs="Arial"/>
          <w:sz w:val="24"/>
          <w:szCs w:val="24"/>
        </w:rPr>
        <w:t xml:space="preserve">even without changes in </w:t>
      </w:r>
      <w:r w:rsidR="00555C21" w:rsidRPr="00B1350E">
        <w:rPr>
          <w:rFonts w:ascii="Arial" w:hAnsi="Arial" w:cs="Arial"/>
          <w:sz w:val="24"/>
          <w:szCs w:val="24"/>
        </w:rPr>
        <w:t xml:space="preserve">target group </w:t>
      </w:r>
      <w:r w:rsidR="008B1D8F" w:rsidRPr="00B1350E">
        <w:rPr>
          <w:rFonts w:ascii="Arial" w:hAnsi="Arial" w:cs="Arial"/>
          <w:sz w:val="24"/>
          <w:szCs w:val="24"/>
        </w:rPr>
        <w:t xml:space="preserve">awareness of </w:t>
      </w:r>
      <w:r w:rsidR="00266476" w:rsidRPr="00B1350E">
        <w:rPr>
          <w:rFonts w:ascii="Arial" w:hAnsi="Arial" w:cs="Arial"/>
          <w:sz w:val="24"/>
          <w:szCs w:val="24"/>
        </w:rPr>
        <w:t>its</w:t>
      </w:r>
      <w:r w:rsidR="008B1D8F" w:rsidRPr="00B1350E">
        <w:rPr>
          <w:rFonts w:ascii="Arial" w:hAnsi="Arial" w:cs="Arial"/>
          <w:sz w:val="24"/>
          <w:szCs w:val="24"/>
        </w:rPr>
        <w:t xml:space="preserve"> benefits.</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lastRenderedPageBreak/>
        <w:t xml:space="preserve">As Figure </w:t>
      </w:r>
      <w:r w:rsidR="002B088F" w:rsidRPr="00B1350E">
        <w:rPr>
          <w:rFonts w:ascii="Arial" w:hAnsi="Arial" w:cs="Arial"/>
          <w:sz w:val="24"/>
          <w:szCs w:val="24"/>
        </w:rPr>
        <w:t>1.1.b</w:t>
      </w:r>
      <w:r w:rsidR="00555C21" w:rsidRPr="00B1350E">
        <w:rPr>
          <w:rFonts w:ascii="Arial" w:hAnsi="Arial" w:cs="Arial"/>
          <w:sz w:val="24"/>
          <w:szCs w:val="24"/>
        </w:rPr>
        <w:t xml:space="preserve"> </w:t>
      </w:r>
      <w:r w:rsidR="00747D81">
        <w:rPr>
          <w:rFonts w:ascii="Arial" w:hAnsi="Arial" w:cs="Arial"/>
          <w:sz w:val="24"/>
          <w:szCs w:val="24"/>
        </w:rPr>
        <w:t xml:space="preserve">also </w:t>
      </w:r>
      <w:r w:rsidR="00555C21" w:rsidRPr="00B1350E">
        <w:rPr>
          <w:rFonts w:ascii="Arial" w:hAnsi="Arial" w:cs="Arial"/>
          <w:sz w:val="24"/>
          <w:szCs w:val="24"/>
        </w:rPr>
        <w:t>shows</w:t>
      </w:r>
      <w:r w:rsidRPr="00B1350E">
        <w:rPr>
          <w:rFonts w:ascii="Arial" w:hAnsi="Arial" w:cs="Arial"/>
          <w:sz w:val="24"/>
          <w:szCs w:val="24"/>
        </w:rPr>
        <w:t>, diffusion theory provides insight into how individual change can aggregate into societal change.</w:t>
      </w:r>
      <w:r w:rsidR="00B02DE5" w:rsidRPr="00B1350E">
        <w:rPr>
          <w:rStyle w:val="FootnoteReference"/>
          <w:rFonts w:ascii="Arial" w:hAnsi="Arial" w:cs="Arial"/>
          <w:sz w:val="24"/>
          <w:szCs w:val="24"/>
        </w:rPr>
        <w:footnoteReference w:id="3"/>
      </w:r>
      <w:r w:rsidRPr="00B1350E">
        <w:rPr>
          <w:rFonts w:ascii="Arial" w:hAnsi="Arial" w:cs="Arial"/>
          <w:sz w:val="24"/>
          <w:szCs w:val="24"/>
        </w:rPr>
        <w:t xml:space="preserve">  Using economic terminology, “spill-over</w:t>
      </w:r>
      <w:r w:rsidR="00266476" w:rsidRPr="00B1350E">
        <w:rPr>
          <w:rFonts w:ascii="Arial" w:hAnsi="Arial" w:cs="Arial"/>
          <w:sz w:val="24"/>
          <w:szCs w:val="24"/>
        </w:rPr>
        <w:t>s</w:t>
      </w:r>
      <w:r w:rsidRPr="00B1350E">
        <w:rPr>
          <w:rFonts w:ascii="Arial" w:hAnsi="Arial" w:cs="Arial"/>
          <w:sz w:val="24"/>
          <w:szCs w:val="24"/>
        </w:rPr>
        <w:t xml:space="preserve">” happen when something </w:t>
      </w:r>
      <w:r w:rsidR="00555C21" w:rsidRPr="00B1350E">
        <w:rPr>
          <w:rFonts w:ascii="Arial" w:hAnsi="Arial" w:cs="Arial"/>
          <w:sz w:val="24"/>
          <w:szCs w:val="24"/>
        </w:rPr>
        <w:t xml:space="preserve">affects </w:t>
      </w:r>
      <w:r w:rsidRPr="00B1350E">
        <w:rPr>
          <w:rFonts w:ascii="Arial" w:hAnsi="Arial" w:cs="Arial"/>
          <w:sz w:val="24"/>
          <w:szCs w:val="24"/>
        </w:rPr>
        <w:t xml:space="preserve">one </w:t>
      </w:r>
      <w:r w:rsidR="006759E4" w:rsidRPr="00B1350E">
        <w:rPr>
          <w:rFonts w:ascii="Arial" w:hAnsi="Arial" w:cs="Arial"/>
          <w:sz w:val="24"/>
          <w:szCs w:val="24"/>
        </w:rPr>
        <w:t>individual</w:t>
      </w:r>
      <w:r w:rsidR="00A8228F" w:rsidRPr="00B1350E">
        <w:rPr>
          <w:rFonts w:ascii="Arial" w:hAnsi="Arial" w:cs="Arial"/>
          <w:sz w:val="24"/>
          <w:szCs w:val="24"/>
        </w:rPr>
        <w:t xml:space="preserve"> </w:t>
      </w:r>
      <w:r w:rsidR="00266476" w:rsidRPr="00B1350E">
        <w:rPr>
          <w:rFonts w:ascii="Arial" w:hAnsi="Arial" w:cs="Arial"/>
          <w:sz w:val="24"/>
          <w:szCs w:val="24"/>
        </w:rPr>
        <w:t xml:space="preserve">and </w:t>
      </w:r>
      <w:r w:rsidR="00A8228F" w:rsidRPr="00B1350E">
        <w:rPr>
          <w:rFonts w:ascii="Arial" w:hAnsi="Arial" w:cs="Arial"/>
          <w:sz w:val="24"/>
          <w:szCs w:val="24"/>
        </w:rPr>
        <w:t>then</w:t>
      </w:r>
      <w:r w:rsidRPr="00B1350E">
        <w:rPr>
          <w:rFonts w:ascii="Arial" w:hAnsi="Arial" w:cs="Arial"/>
          <w:sz w:val="24"/>
          <w:szCs w:val="24"/>
        </w:rPr>
        <w:t xml:space="preserve"> spreads to another.  Diffusion theorists articulate such spread </w:t>
      </w:r>
      <w:r w:rsidR="00555C21" w:rsidRPr="00B1350E">
        <w:rPr>
          <w:rFonts w:ascii="Arial" w:hAnsi="Arial" w:cs="Arial"/>
          <w:sz w:val="24"/>
          <w:szCs w:val="24"/>
        </w:rPr>
        <w:t>by assuming</w:t>
      </w:r>
      <w:r w:rsidR="00A8228F" w:rsidRPr="00B1350E">
        <w:rPr>
          <w:rFonts w:ascii="Arial" w:hAnsi="Arial" w:cs="Arial"/>
          <w:sz w:val="24"/>
          <w:szCs w:val="24"/>
        </w:rPr>
        <w:t xml:space="preserve"> </w:t>
      </w:r>
      <w:r w:rsidRPr="00B1350E">
        <w:rPr>
          <w:rFonts w:ascii="Arial" w:hAnsi="Arial" w:cs="Arial"/>
          <w:sz w:val="24"/>
          <w:szCs w:val="24"/>
        </w:rPr>
        <w:t xml:space="preserve">that some individuals are more prone to lead </w:t>
      </w:r>
      <w:r w:rsidR="00A8228F" w:rsidRPr="00B1350E">
        <w:rPr>
          <w:rFonts w:ascii="Arial" w:hAnsi="Arial" w:cs="Arial"/>
          <w:sz w:val="24"/>
          <w:szCs w:val="24"/>
        </w:rPr>
        <w:t xml:space="preserve">and </w:t>
      </w:r>
      <w:r w:rsidRPr="00B1350E">
        <w:rPr>
          <w:rFonts w:ascii="Arial" w:hAnsi="Arial" w:cs="Arial"/>
          <w:sz w:val="24"/>
          <w:szCs w:val="24"/>
        </w:rPr>
        <w:t xml:space="preserve">others to follow.  While </w:t>
      </w:r>
      <w:r w:rsidR="003E32C4" w:rsidRPr="00B1350E">
        <w:rPr>
          <w:rFonts w:ascii="Arial" w:hAnsi="Arial" w:cs="Arial"/>
          <w:sz w:val="24"/>
          <w:szCs w:val="24"/>
        </w:rPr>
        <w:t>Rogers’</w:t>
      </w:r>
      <w:r w:rsidRPr="00B1350E">
        <w:rPr>
          <w:rFonts w:ascii="Arial" w:hAnsi="Arial" w:cs="Arial"/>
          <w:sz w:val="24"/>
          <w:szCs w:val="24"/>
        </w:rPr>
        <w:t xml:space="preserve"> </w:t>
      </w:r>
      <w:r w:rsidR="00555C21" w:rsidRPr="00B1350E">
        <w:rPr>
          <w:rFonts w:ascii="Arial" w:hAnsi="Arial" w:cs="Arial"/>
          <w:sz w:val="24"/>
          <w:szCs w:val="24"/>
        </w:rPr>
        <w:t xml:space="preserve">(1962) </w:t>
      </w:r>
      <w:r w:rsidRPr="00B1350E">
        <w:rPr>
          <w:rFonts w:ascii="Arial" w:hAnsi="Arial" w:cs="Arial"/>
          <w:sz w:val="24"/>
          <w:szCs w:val="24"/>
        </w:rPr>
        <w:t xml:space="preserve">diffusion theory </w:t>
      </w:r>
      <w:r w:rsidR="00555C21" w:rsidRPr="00B1350E">
        <w:rPr>
          <w:rFonts w:ascii="Arial" w:hAnsi="Arial" w:cs="Arial"/>
          <w:sz w:val="24"/>
          <w:szCs w:val="24"/>
        </w:rPr>
        <w:t xml:space="preserve">described </w:t>
      </w:r>
      <w:r w:rsidRPr="00B1350E">
        <w:rPr>
          <w:rFonts w:ascii="Arial" w:hAnsi="Arial" w:cs="Arial"/>
          <w:sz w:val="24"/>
          <w:szCs w:val="24"/>
        </w:rPr>
        <w:t>five types of individuals</w:t>
      </w:r>
      <w:r w:rsidR="00BD090B" w:rsidRPr="00B1350E">
        <w:rPr>
          <w:rFonts w:ascii="Arial" w:hAnsi="Arial" w:cs="Arial"/>
          <w:sz w:val="24"/>
          <w:szCs w:val="24"/>
        </w:rPr>
        <w:t>,</w:t>
      </w:r>
      <w:r w:rsidR="00A8228F" w:rsidRPr="00B1350E">
        <w:rPr>
          <w:rFonts w:ascii="Arial" w:hAnsi="Arial" w:cs="Arial"/>
          <w:sz w:val="24"/>
          <w:szCs w:val="24"/>
        </w:rPr>
        <w:t xml:space="preserve"> people</w:t>
      </w:r>
      <w:r w:rsidRPr="00B1350E">
        <w:rPr>
          <w:rFonts w:ascii="Arial" w:hAnsi="Arial" w:cs="Arial"/>
          <w:sz w:val="24"/>
          <w:szCs w:val="24"/>
        </w:rPr>
        <w:t xml:space="preserve"> </w:t>
      </w:r>
      <w:r w:rsidR="00555C21" w:rsidRPr="00B1350E">
        <w:rPr>
          <w:rFonts w:ascii="Arial" w:hAnsi="Arial" w:cs="Arial"/>
          <w:sz w:val="24"/>
          <w:szCs w:val="24"/>
        </w:rPr>
        <w:t xml:space="preserve">more realistically </w:t>
      </w:r>
      <w:r w:rsidRPr="00B1350E">
        <w:rPr>
          <w:rFonts w:ascii="Arial" w:hAnsi="Arial" w:cs="Arial"/>
          <w:sz w:val="24"/>
          <w:szCs w:val="24"/>
        </w:rPr>
        <w:t>fall</w:t>
      </w:r>
      <w:r w:rsidR="00555C21" w:rsidRPr="00B1350E">
        <w:rPr>
          <w:rFonts w:ascii="Arial" w:hAnsi="Arial" w:cs="Arial"/>
          <w:sz w:val="24"/>
          <w:szCs w:val="24"/>
        </w:rPr>
        <w:t xml:space="preserve"> on </w:t>
      </w:r>
      <w:r w:rsidRPr="00B1350E">
        <w:rPr>
          <w:rFonts w:ascii="Arial" w:hAnsi="Arial" w:cs="Arial"/>
          <w:sz w:val="24"/>
          <w:szCs w:val="24"/>
        </w:rPr>
        <w:t>a continuum.  At one extreme, there are risk-takers</w:t>
      </w:r>
      <w:r w:rsidR="00A8228F" w:rsidRPr="00B1350E">
        <w:rPr>
          <w:rFonts w:ascii="Arial" w:hAnsi="Arial" w:cs="Arial"/>
          <w:sz w:val="24"/>
          <w:szCs w:val="24"/>
        </w:rPr>
        <w:t xml:space="preserve"> </w:t>
      </w:r>
      <w:r w:rsidRPr="00B1350E">
        <w:rPr>
          <w:rFonts w:ascii="Arial" w:hAnsi="Arial" w:cs="Arial"/>
          <w:sz w:val="24"/>
          <w:szCs w:val="24"/>
        </w:rPr>
        <w:t xml:space="preserve">willing to immediately </w:t>
      </w:r>
      <w:r w:rsidR="00266476" w:rsidRPr="00B1350E">
        <w:rPr>
          <w:rFonts w:ascii="Arial" w:hAnsi="Arial" w:cs="Arial"/>
          <w:sz w:val="24"/>
          <w:szCs w:val="24"/>
        </w:rPr>
        <w:t xml:space="preserve">adopt innovation, like </w:t>
      </w:r>
      <w:r w:rsidR="00555C21" w:rsidRPr="00B1350E">
        <w:rPr>
          <w:rFonts w:ascii="Arial" w:hAnsi="Arial" w:cs="Arial"/>
          <w:sz w:val="24"/>
          <w:szCs w:val="24"/>
        </w:rPr>
        <w:t>participat</w:t>
      </w:r>
      <w:r w:rsidR="00266476" w:rsidRPr="00B1350E">
        <w:rPr>
          <w:rFonts w:ascii="Arial" w:hAnsi="Arial" w:cs="Arial"/>
          <w:sz w:val="24"/>
          <w:szCs w:val="24"/>
        </w:rPr>
        <w:t>ing</w:t>
      </w:r>
      <w:r w:rsidR="00555C21" w:rsidRPr="00B1350E">
        <w:rPr>
          <w:rFonts w:ascii="Arial" w:hAnsi="Arial" w:cs="Arial"/>
          <w:sz w:val="24"/>
          <w:szCs w:val="24"/>
        </w:rPr>
        <w:t xml:space="preserve"> </w:t>
      </w:r>
      <w:r w:rsidRPr="00B1350E">
        <w:rPr>
          <w:rFonts w:ascii="Arial" w:hAnsi="Arial" w:cs="Arial"/>
          <w:sz w:val="24"/>
          <w:szCs w:val="24"/>
        </w:rPr>
        <w:t xml:space="preserve">in a </w:t>
      </w:r>
      <w:r w:rsidR="00BD090B" w:rsidRPr="00B1350E">
        <w:rPr>
          <w:rFonts w:ascii="Arial" w:hAnsi="Arial" w:cs="Arial"/>
          <w:sz w:val="24"/>
          <w:szCs w:val="24"/>
        </w:rPr>
        <w:t xml:space="preserve">new </w:t>
      </w:r>
      <w:r w:rsidRPr="00B1350E">
        <w:rPr>
          <w:rFonts w:ascii="Arial" w:hAnsi="Arial" w:cs="Arial"/>
          <w:sz w:val="24"/>
          <w:szCs w:val="24"/>
        </w:rPr>
        <w:t>library program.  Others</w:t>
      </w:r>
      <w:r w:rsidR="00A8228F" w:rsidRPr="00B1350E">
        <w:rPr>
          <w:rFonts w:ascii="Arial" w:hAnsi="Arial" w:cs="Arial"/>
          <w:sz w:val="24"/>
          <w:szCs w:val="24"/>
        </w:rPr>
        <w:t xml:space="preserve">, </w:t>
      </w:r>
      <w:r w:rsidRPr="00B1350E">
        <w:rPr>
          <w:rFonts w:ascii="Arial" w:hAnsi="Arial" w:cs="Arial"/>
          <w:sz w:val="24"/>
          <w:szCs w:val="24"/>
        </w:rPr>
        <w:t>more cautious in varying degrees</w:t>
      </w:r>
      <w:r w:rsidR="00A8228F" w:rsidRPr="00B1350E">
        <w:rPr>
          <w:rFonts w:ascii="Arial" w:hAnsi="Arial" w:cs="Arial"/>
          <w:sz w:val="24"/>
          <w:szCs w:val="24"/>
        </w:rPr>
        <w:t xml:space="preserve">, </w:t>
      </w:r>
      <w:r w:rsidRPr="00B1350E">
        <w:rPr>
          <w:rFonts w:ascii="Arial" w:hAnsi="Arial" w:cs="Arial"/>
          <w:sz w:val="24"/>
          <w:szCs w:val="24"/>
        </w:rPr>
        <w:t xml:space="preserve">will wait and assess </w:t>
      </w:r>
      <w:r w:rsidR="00555C21" w:rsidRPr="00B1350E">
        <w:rPr>
          <w:rFonts w:ascii="Arial" w:hAnsi="Arial" w:cs="Arial"/>
          <w:sz w:val="24"/>
          <w:szCs w:val="24"/>
        </w:rPr>
        <w:t xml:space="preserve">others’ </w:t>
      </w:r>
      <w:r w:rsidRPr="00B1350E">
        <w:rPr>
          <w:rFonts w:ascii="Arial" w:hAnsi="Arial" w:cs="Arial"/>
          <w:sz w:val="24"/>
          <w:szCs w:val="24"/>
        </w:rPr>
        <w:t xml:space="preserve">experiences before opting </w:t>
      </w:r>
      <w:r w:rsidR="00BD090B" w:rsidRPr="00B1350E">
        <w:rPr>
          <w:rFonts w:ascii="Arial" w:hAnsi="Arial" w:cs="Arial"/>
          <w:sz w:val="24"/>
          <w:szCs w:val="24"/>
        </w:rPr>
        <w:t>to</w:t>
      </w:r>
      <w:r w:rsidR="00A8228F" w:rsidRPr="00B1350E">
        <w:rPr>
          <w:rFonts w:ascii="Arial" w:hAnsi="Arial" w:cs="Arial"/>
          <w:sz w:val="24"/>
          <w:szCs w:val="24"/>
        </w:rPr>
        <w:t xml:space="preserve"> </w:t>
      </w:r>
      <w:r w:rsidRPr="00B1350E">
        <w:rPr>
          <w:rFonts w:ascii="Arial" w:hAnsi="Arial" w:cs="Arial"/>
          <w:sz w:val="24"/>
          <w:szCs w:val="24"/>
        </w:rPr>
        <w:t>participate</w:t>
      </w:r>
      <w:r w:rsidR="00BD090B" w:rsidRPr="00B1350E">
        <w:rPr>
          <w:rFonts w:ascii="Arial" w:hAnsi="Arial" w:cs="Arial"/>
          <w:sz w:val="24"/>
          <w:szCs w:val="24"/>
        </w:rPr>
        <w:t xml:space="preserve"> and adopt the</w:t>
      </w:r>
      <w:r w:rsidR="00555C21" w:rsidRPr="00B1350E">
        <w:rPr>
          <w:rFonts w:ascii="Arial" w:hAnsi="Arial" w:cs="Arial"/>
          <w:sz w:val="24"/>
          <w:szCs w:val="24"/>
        </w:rPr>
        <w:t>ir</w:t>
      </w:r>
      <w:r w:rsidR="00BD090B" w:rsidRPr="00B1350E">
        <w:rPr>
          <w:rFonts w:ascii="Arial" w:hAnsi="Arial" w:cs="Arial"/>
          <w:sz w:val="24"/>
          <w:szCs w:val="24"/>
        </w:rPr>
        <w:t xml:space="preserve"> </w:t>
      </w:r>
      <w:r w:rsidR="006759E4" w:rsidRPr="00B1350E">
        <w:rPr>
          <w:rFonts w:ascii="Arial" w:hAnsi="Arial" w:cs="Arial"/>
          <w:sz w:val="24"/>
          <w:szCs w:val="24"/>
        </w:rPr>
        <w:t>learning</w:t>
      </w:r>
      <w:r w:rsidR="00BD090B" w:rsidRPr="00B1350E">
        <w:rPr>
          <w:rFonts w:ascii="Arial" w:hAnsi="Arial" w:cs="Arial"/>
          <w:sz w:val="24"/>
          <w:szCs w:val="24"/>
        </w:rPr>
        <w:t xml:space="preserve"> to change their circumstances</w:t>
      </w:r>
      <w:r w:rsidRPr="00B1350E">
        <w:rPr>
          <w:rFonts w:ascii="Arial" w:hAnsi="Arial" w:cs="Arial"/>
          <w:sz w:val="24"/>
          <w:szCs w:val="24"/>
        </w:rPr>
        <w:t xml:space="preserve">.  At the far extreme </w:t>
      </w:r>
      <w:r w:rsidR="00A8228F" w:rsidRPr="00B1350E">
        <w:rPr>
          <w:rFonts w:ascii="Arial" w:hAnsi="Arial" w:cs="Arial"/>
          <w:sz w:val="24"/>
          <w:szCs w:val="24"/>
        </w:rPr>
        <w:t xml:space="preserve">are </w:t>
      </w:r>
      <w:r w:rsidR="00555C21" w:rsidRPr="00B1350E">
        <w:rPr>
          <w:rFonts w:ascii="Arial" w:hAnsi="Arial" w:cs="Arial"/>
          <w:sz w:val="24"/>
          <w:szCs w:val="24"/>
        </w:rPr>
        <w:t>risk-</w:t>
      </w:r>
      <w:r w:rsidR="00651AE7" w:rsidRPr="00B1350E">
        <w:rPr>
          <w:rFonts w:ascii="Arial" w:hAnsi="Arial" w:cs="Arial"/>
          <w:sz w:val="24"/>
          <w:szCs w:val="24"/>
        </w:rPr>
        <w:t>adverse</w:t>
      </w:r>
      <w:r w:rsidR="00A8228F" w:rsidRPr="00B1350E">
        <w:rPr>
          <w:rFonts w:ascii="Arial" w:hAnsi="Arial" w:cs="Arial"/>
          <w:sz w:val="24"/>
          <w:szCs w:val="24"/>
        </w:rPr>
        <w:t xml:space="preserve"> individua</w:t>
      </w:r>
      <w:r w:rsidR="008D59F8" w:rsidRPr="00B1350E">
        <w:rPr>
          <w:rFonts w:ascii="Arial" w:hAnsi="Arial" w:cs="Arial"/>
          <w:sz w:val="24"/>
          <w:szCs w:val="24"/>
        </w:rPr>
        <w:t>l</w:t>
      </w:r>
      <w:r w:rsidR="00A8228F" w:rsidRPr="00B1350E">
        <w:rPr>
          <w:rFonts w:ascii="Arial" w:hAnsi="Arial" w:cs="Arial"/>
          <w:sz w:val="24"/>
          <w:szCs w:val="24"/>
        </w:rPr>
        <w:t xml:space="preserve">s who </w:t>
      </w:r>
      <w:r w:rsidRPr="00B1350E">
        <w:rPr>
          <w:rFonts w:ascii="Arial" w:hAnsi="Arial" w:cs="Arial"/>
          <w:sz w:val="24"/>
          <w:szCs w:val="24"/>
        </w:rPr>
        <w:t xml:space="preserve">may never </w:t>
      </w:r>
      <w:r w:rsidR="00555C21" w:rsidRPr="00B1350E">
        <w:rPr>
          <w:rFonts w:ascii="Arial" w:hAnsi="Arial" w:cs="Arial"/>
          <w:sz w:val="24"/>
          <w:szCs w:val="24"/>
        </w:rPr>
        <w:t xml:space="preserve">choose participation and </w:t>
      </w:r>
      <w:r w:rsidR="00A8228F" w:rsidRPr="00B1350E">
        <w:rPr>
          <w:rFonts w:ascii="Arial" w:hAnsi="Arial" w:cs="Arial"/>
          <w:sz w:val="24"/>
          <w:szCs w:val="24"/>
        </w:rPr>
        <w:t>potential</w:t>
      </w:r>
      <w:r w:rsidRPr="00B1350E">
        <w:rPr>
          <w:rFonts w:ascii="Arial" w:hAnsi="Arial" w:cs="Arial"/>
          <w:sz w:val="24"/>
          <w:szCs w:val="24"/>
        </w:rPr>
        <w:t xml:space="preserve"> change.</w:t>
      </w:r>
      <w:r w:rsidRPr="00B1350E">
        <w:rPr>
          <w:rFonts w:ascii="Arial" w:hAnsi="Arial" w:cs="Arial"/>
          <w:sz w:val="24"/>
          <w:szCs w:val="24"/>
          <w:vertAlign w:val="superscript"/>
        </w:rPr>
        <w:footnoteReference w:id="4"/>
      </w:r>
      <w:r w:rsidRPr="00B1350E">
        <w:rPr>
          <w:rFonts w:ascii="Arial" w:hAnsi="Arial" w:cs="Arial"/>
          <w:sz w:val="24"/>
          <w:szCs w:val="24"/>
        </w:rPr>
        <w:t xml:space="preserve">  </w:t>
      </w:r>
      <w:r w:rsidR="008D59F8" w:rsidRPr="00B1350E">
        <w:rPr>
          <w:rFonts w:ascii="Arial" w:hAnsi="Arial" w:cs="Arial"/>
          <w:sz w:val="24"/>
          <w:szCs w:val="24"/>
        </w:rPr>
        <w:t>T</w:t>
      </w:r>
      <w:r w:rsidRPr="00B1350E">
        <w:rPr>
          <w:rFonts w:ascii="Arial" w:hAnsi="Arial" w:cs="Arial"/>
          <w:sz w:val="24"/>
          <w:szCs w:val="24"/>
        </w:rPr>
        <w:t xml:space="preserve">his aspect of diffusion theory is </w:t>
      </w:r>
      <w:r w:rsidR="008D59F8" w:rsidRPr="00B1350E">
        <w:rPr>
          <w:rFonts w:ascii="Arial" w:hAnsi="Arial" w:cs="Arial"/>
          <w:sz w:val="24"/>
          <w:szCs w:val="24"/>
        </w:rPr>
        <w:t xml:space="preserve">key </w:t>
      </w:r>
      <w:r w:rsidRPr="00B1350E">
        <w:rPr>
          <w:rFonts w:ascii="Arial" w:hAnsi="Arial" w:cs="Arial"/>
          <w:sz w:val="24"/>
          <w:szCs w:val="24"/>
        </w:rPr>
        <w:t xml:space="preserve">in understanding how library programs can gradually </w:t>
      </w:r>
      <w:r w:rsidR="008D59F8" w:rsidRPr="00B1350E">
        <w:rPr>
          <w:rFonts w:ascii="Arial" w:hAnsi="Arial" w:cs="Arial"/>
          <w:sz w:val="24"/>
          <w:szCs w:val="24"/>
        </w:rPr>
        <w:t>increase</w:t>
      </w:r>
      <w:r w:rsidRPr="00B1350E">
        <w:rPr>
          <w:rFonts w:ascii="Arial" w:hAnsi="Arial" w:cs="Arial"/>
          <w:sz w:val="24"/>
          <w:szCs w:val="24"/>
        </w:rPr>
        <w:t xml:space="preserve"> popularity and impact</w:t>
      </w:r>
      <w:r w:rsidR="008D59F8" w:rsidRPr="00B1350E">
        <w:rPr>
          <w:rFonts w:ascii="Arial" w:hAnsi="Arial" w:cs="Arial"/>
          <w:sz w:val="24"/>
          <w:szCs w:val="24"/>
        </w:rPr>
        <w:t>; it</w:t>
      </w:r>
      <w:r w:rsidRPr="00B1350E">
        <w:rPr>
          <w:rFonts w:ascii="Arial" w:hAnsi="Arial" w:cs="Arial"/>
          <w:sz w:val="24"/>
          <w:szCs w:val="24"/>
        </w:rPr>
        <w:t xml:space="preserve"> is based on the continued intermingling of former, current</w:t>
      </w:r>
      <w:r w:rsidR="008D59F8" w:rsidRPr="00B1350E">
        <w:rPr>
          <w:rFonts w:ascii="Arial" w:hAnsi="Arial" w:cs="Arial"/>
          <w:sz w:val="24"/>
          <w:szCs w:val="24"/>
        </w:rPr>
        <w:t>,</w:t>
      </w:r>
      <w:r w:rsidRPr="00B1350E">
        <w:rPr>
          <w:rFonts w:ascii="Arial" w:hAnsi="Arial" w:cs="Arial"/>
          <w:sz w:val="24"/>
          <w:szCs w:val="24"/>
        </w:rPr>
        <w:t xml:space="preserve"> and potential participants</w:t>
      </w:r>
      <w:r w:rsidR="00266476" w:rsidRPr="00B1350E">
        <w:rPr>
          <w:rFonts w:ascii="Arial" w:hAnsi="Arial" w:cs="Arial"/>
          <w:sz w:val="24"/>
          <w:szCs w:val="24"/>
        </w:rPr>
        <w:t xml:space="preserve"> and not just on the direct interactions between library staff and some clientele at one </w:t>
      </w:r>
      <w:r w:rsidR="002B088F" w:rsidRPr="00B1350E">
        <w:rPr>
          <w:rFonts w:ascii="Arial" w:hAnsi="Arial" w:cs="Arial"/>
          <w:sz w:val="24"/>
          <w:szCs w:val="24"/>
        </w:rPr>
        <w:t xml:space="preserve">point in </w:t>
      </w:r>
      <w:r w:rsidR="00266476" w:rsidRPr="00B1350E">
        <w:rPr>
          <w:rFonts w:ascii="Arial" w:hAnsi="Arial" w:cs="Arial"/>
          <w:sz w:val="24"/>
          <w:szCs w:val="24"/>
        </w:rPr>
        <w:t xml:space="preserve"> time</w:t>
      </w:r>
      <w:r w:rsidRPr="00B1350E">
        <w:rPr>
          <w:rFonts w:ascii="Arial" w:hAnsi="Arial" w:cs="Arial"/>
          <w:sz w:val="24"/>
          <w:szCs w:val="24"/>
        </w:rPr>
        <w:t xml:space="preserve">.  </w:t>
      </w:r>
    </w:p>
    <w:p w:rsidR="008B1D8F" w:rsidRPr="00B1350E" w:rsidRDefault="008B1D8F"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We now turn our attention to the </w:t>
      </w:r>
      <w:r w:rsidR="00555C21" w:rsidRPr="00B1350E">
        <w:rPr>
          <w:rFonts w:ascii="Arial" w:hAnsi="Arial" w:cs="Arial"/>
          <w:sz w:val="24"/>
          <w:szCs w:val="24"/>
        </w:rPr>
        <w:t xml:space="preserve">IMLS’s </w:t>
      </w:r>
      <w:r w:rsidR="00555C21" w:rsidRPr="00B1350E">
        <w:rPr>
          <w:rFonts w:ascii="Arial" w:hAnsi="Arial" w:cs="Arial"/>
          <w:i/>
          <w:sz w:val="24"/>
          <w:szCs w:val="24"/>
        </w:rPr>
        <w:t>Measuring Success</w:t>
      </w:r>
      <w:r w:rsidR="00555C21" w:rsidRPr="00B1350E">
        <w:rPr>
          <w:rFonts w:ascii="Arial" w:hAnsi="Arial" w:cs="Arial"/>
          <w:sz w:val="24"/>
          <w:szCs w:val="24"/>
        </w:rPr>
        <w:t xml:space="preserve"> initiative </w:t>
      </w:r>
      <w:r w:rsidRPr="00B1350E">
        <w:rPr>
          <w:rFonts w:ascii="Arial" w:hAnsi="Arial" w:cs="Arial"/>
          <w:sz w:val="24"/>
          <w:szCs w:val="24"/>
        </w:rPr>
        <w:t>Grants to States.</w:t>
      </w:r>
    </w:p>
    <w:p w:rsidR="006759E4" w:rsidRPr="00AD69F4" w:rsidRDefault="008B1D8F" w:rsidP="006759E4">
      <w:pPr>
        <w:pStyle w:val="Body1"/>
        <w:spacing w:before="100" w:beforeAutospacing="1" w:after="100" w:afterAutospacing="1" w:line="360" w:lineRule="auto"/>
        <w:rPr>
          <w:rFonts w:ascii="Arial" w:hAnsi="Arial" w:cs="Arial"/>
          <w:b/>
          <w:sz w:val="28"/>
          <w:szCs w:val="28"/>
        </w:rPr>
      </w:pPr>
      <w:r w:rsidRPr="00AD69F4">
        <w:rPr>
          <w:rFonts w:ascii="Arial" w:hAnsi="Arial" w:cs="Arial"/>
          <w:b/>
          <w:sz w:val="28"/>
          <w:szCs w:val="28"/>
        </w:rPr>
        <w:t>Political Context for Evaluation in Grants to States</w:t>
      </w:r>
    </w:p>
    <w:p w:rsidR="003E32C4" w:rsidRPr="00B1350E" w:rsidRDefault="00B64614" w:rsidP="006759E4">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There are three important policy features of IMLS Grants to States that have influenced choices for building </w:t>
      </w:r>
      <w:r w:rsidR="00EC7291" w:rsidRPr="00B1350E">
        <w:rPr>
          <w:rFonts w:ascii="Arial" w:hAnsi="Arial" w:cs="Arial"/>
          <w:sz w:val="24"/>
          <w:szCs w:val="24"/>
        </w:rPr>
        <w:t>a refined</w:t>
      </w:r>
      <w:r w:rsidRPr="00B1350E">
        <w:rPr>
          <w:rFonts w:ascii="Arial" w:hAnsi="Arial" w:cs="Arial"/>
          <w:sz w:val="24"/>
          <w:szCs w:val="24"/>
        </w:rPr>
        <w:t xml:space="preserve"> evaluation system.  First, </w:t>
      </w:r>
      <w:r w:rsidR="00EC7291" w:rsidRPr="00B1350E">
        <w:rPr>
          <w:rFonts w:ascii="Arial" w:hAnsi="Arial" w:cs="Arial"/>
          <w:sz w:val="24"/>
          <w:szCs w:val="24"/>
        </w:rPr>
        <w:t xml:space="preserve">this </w:t>
      </w:r>
      <w:r w:rsidRPr="00B1350E">
        <w:rPr>
          <w:rFonts w:ascii="Arial" w:hAnsi="Arial" w:cs="Arial"/>
          <w:sz w:val="24"/>
          <w:szCs w:val="24"/>
        </w:rPr>
        <w:t xml:space="preserve">has </w:t>
      </w:r>
      <w:r w:rsidR="00EC7291" w:rsidRPr="00B1350E">
        <w:rPr>
          <w:rFonts w:ascii="Arial" w:hAnsi="Arial" w:cs="Arial"/>
          <w:sz w:val="24"/>
          <w:szCs w:val="24"/>
        </w:rPr>
        <w:t xml:space="preserve">always </w:t>
      </w:r>
      <w:r w:rsidR="006F0A63" w:rsidRPr="00B1350E">
        <w:rPr>
          <w:rFonts w:ascii="Arial" w:hAnsi="Arial" w:cs="Arial"/>
          <w:sz w:val="24"/>
          <w:szCs w:val="24"/>
        </w:rPr>
        <w:t>been</w:t>
      </w:r>
      <w:r w:rsidRPr="00B1350E">
        <w:rPr>
          <w:rFonts w:ascii="Arial" w:hAnsi="Arial" w:cs="Arial"/>
          <w:sz w:val="24"/>
          <w:szCs w:val="24"/>
        </w:rPr>
        <w:t xml:space="preserve"> a formula-based federal </w:t>
      </w:r>
      <w:r w:rsidR="006F0A63" w:rsidRPr="00B1350E">
        <w:rPr>
          <w:rFonts w:ascii="Arial" w:hAnsi="Arial" w:cs="Arial"/>
          <w:sz w:val="24"/>
          <w:szCs w:val="24"/>
        </w:rPr>
        <w:t>program</w:t>
      </w:r>
      <w:r w:rsidR="0008695D" w:rsidRPr="00B1350E">
        <w:rPr>
          <w:rFonts w:ascii="Arial" w:hAnsi="Arial" w:cs="Arial"/>
          <w:sz w:val="24"/>
          <w:szCs w:val="24"/>
        </w:rPr>
        <w:t>,</w:t>
      </w:r>
      <w:r w:rsidR="003E32C4" w:rsidRPr="00B1350E">
        <w:rPr>
          <w:rFonts w:ascii="Arial" w:hAnsi="Arial" w:cs="Arial"/>
          <w:sz w:val="24"/>
          <w:szCs w:val="24"/>
        </w:rPr>
        <w:t xml:space="preserve"> </w:t>
      </w:r>
      <w:r w:rsidR="006F0A63" w:rsidRPr="00B1350E">
        <w:rPr>
          <w:rFonts w:ascii="Arial" w:hAnsi="Arial" w:cs="Arial"/>
          <w:sz w:val="24"/>
          <w:szCs w:val="24"/>
        </w:rPr>
        <w:t xml:space="preserve">resulting in </w:t>
      </w:r>
      <w:r w:rsidR="003E32C4" w:rsidRPr="00B1350E">
        <w:rPr>
          <w:rFonts w:ascii="Arial" w:hAnsi="Arial" w:cs="Arial"/>
          <w:sz w:val="24"/>
          <w:szCs w:val="24"/>
        </w:rPr>
        <w:t>complex intergovernmental relationship</w:t>
      </w:r>
      <w:r w:rsidR="0008695D" w:rsidRPr="00B1350E">
        <w:rPr>
          <w:rFonts w:ascii="Arial" w:hAnsi="Arial" w:cs="Arial"/>
          <w:sz w:val="24"/>
          <w:szCs w:val="24"/>
        </w:rPr>
        <w:t>s</w:t>
      </w:r>
      <w:r w:rsidRPr="00B1350E">
        <w:rPr>
          <w:rFonts w:ascii="Arial" w:hAnsi="Arial" w:cs="Arial"/>
          <w:sz w:val="24"/>
          <w:szCs w:val="24"/>
        </w:rPr>
        <w:t xml:space="preserve">.  </w:t>
      </w:r>
      <w:r w:rsidR="00E81A6A" w:rsidRPr="00B1350E">
        <w:rPr>
          <w:rFonts w:ascii="Arial" w:hAnsi="Arial" w:cs="Arial"/>
          <w:sz w:val="24"/>
          <w:szCs w:val="24"/>
        </w:rPr>
        <w:t>T</w:t>
      </w:r>
      <w:r w:rsidR="000E4D43" w:rsidRPr="00B1350E">
        <w:rPr>
          <w:rFonts w:ascii="Arial" w:hAnsi="Arial" w:cs="Arial"/>
          <w:sz w:val="24"/>
          <w:szCs w:val="24"/>
        </w:rPr>
        <w:t xml:space="preserve">he federal </w:t>
      </w:r>
      <w:r w:rsidRPr="00B1350E">
        <w:rPr>
          <w:rFonts w:ascii="Arial" w:hAnsi="Arial" w:cs="Arial"/>
          <w:sz w:val="24"/>
          <w:szCs w:val="24"/>
        </w:rPr>
        <w:t>authorizing legislation place</w:t>
      </w:r>
      <w:r w:rsidR="000E4D43" w:rsidRPr="00B1350E">
        <w:rPr>
          <w:rFonts w:ascii="Arial" w:hAnsi="Arial" w:cs="Arial"/>
          <w:sz w:val="24"/>
          <w:szCs w:val="24"/>
        </w:rPr>
        <w:t>s</w:t>
      </w:r>
      <w:r w:rsidRPr="00B1350E">
        <w:rPr>
          <w:rFonts w:ascii="Arial" w:hAnsi="Arial" w:cs="Arial"/>
          <w:sz w:val="24"/>
          <w:szCs w:val="24"/>
        </w:rPr>
        <w:t xml:space="preserve"> responsibility for </w:t>
      </w:r>
      <w:r w:rsidR="006F0A63" w:rsidRPr="00B1350E">
        <w:rPr>
          <w:rFonts w:ascii="Arial" w:hAnsi="Arial" w:cs="Arial"/>
          <w:sz w:val="24"/>
          <w:szCs w:val="24"/>
        </w:rPr>
        <w:t xml:space="preserve">the </w:t>
      </w:r>
      <w:r w:rsidRPr="00B1350E">
        <w:rPr>
          <w:rFonts w:ascii="Arial" w:hAnsi="Arial" w:cs="Arial"/>
          <w:sz w:val="24"/>
          <w:szCs w:val="24"/>
        </w:rPr>
        <w:t xml:space="preserve">program’s oversight in </w:t>
      </w:r>
      <w:r w:rsidR="000E4D43" w:rsidRPr="00B1350E">
        <w:rPr>
          <w:rFonts w:ascii="Arial" w:hAnsi="Arial" w:cs="Arial"/>
          <w:sz w:val="24"/>
          <w:szCs w:val="24"/>
        </w:rPr>
        <w:t>IMLS</w:t>
      </w:r>
      <w:r w:rsidR="006F0A63" w:rsidRPr="00B1350E">
        <w:rPr>
          <w:rFonts w:ascii="Arial" w:hAnsi="Arial" w:cs="Arial"/>
          <w:sz w:val="24"/>
          <w:szCs w:val="24"/>
        </w:rPr>
        <w:t>,</w:t>
      </w:r>
      <w:r w:rsidRPr="00B1350E">
        <w:rPr>
          <w:rFonts w:ascii="Arial" w:hAnsi="Arial" w:cs="Arial"/>
          <w:sz w:val="24"/>
          <w:szCs w:val="24"/>
        </w:rPr>
        <w:t xml:space="preserve"> but provide</w:t>
      </w:r>
      <w:r w:rsidR="000E4D43" w:rsidRPr="00B1350E">
        <w:rPr>
          <w:rFonts w:ascii="Arial" w:hAnsi="Arial" w:cs="Arial"/>
          <w:sz w:val="24"/>
          <w:szCs w:val="24"/>
        </w:rPr>
        <w:t>s</w:t>
      </w:r>
      <w:r w:rsidRPr="00B1350E">
        <w:rPr>
          <w:rFonts w:ascii="Arial" w:hAnsi="Arial" w:cs="Arial"/>
          <w:sz w:val="24"/>
          <w:szCs w:val="24"/>
        </w:rPr>
        <w:t xml:space="preserve"> SLAA</w:t>
      </w:r>
      <w:r w:rsidR="006F0A63" w:rsidRPr="00B1350E">
        <w:rPr>
          <w:rFonts w:ascii="Arial" w:hAnsi="Arial" w:cs="Arial"/>
          <w:sz w:val="24"/>
          <w:szCs w:val="24"/>
        </w:rPr>
        <w:t>s</w:t>
      </w:r>
      <w:r w:rsidRPr="00B1350E">
        <w:rPr>
          <w:rFonts w:ascii="Arial" w:hAnsi="Arial" w:cs="Arial"/>
          <w:sz w:val="24"/>
          <w:szCs w:val="24"/>
        </w:rPr>
        <w:t xml:space="preserve"> with substantial discretion in the </w:t>
      </w:r>
      <w:r w:rsidR="0008695D" w:rsidRPr="00B1350E">
        <w:rPr>
          <w:rFonts w:ascii="Arial" w:hAnsi="Arial" w:cs="Arial"/>
          <w:sz w:val="24"/>
          <w:szCs w:val="24"/>
        </w:rPr>
        <w:t>services and activities</w:t>
      </w:r>
      <w:r w:rsidRPr="00B1350E">
        <w:rPr>
          <w:rFonts w:ascii="Arial" w:hAnsi="Arial" w:cs="Arial"/>
          <w:sz w:val="24"/>
          <w:szCs w:val="24"/>
        </w:rPr>
        <w:t xml:space="preserve"> they </w:t>
      </w:r>
      <w:r w:rsidR="006F0A63" w:rsidRPr="00B1350E">
        <w:rPr>
          <w:rFonts w:ascii="Arial" w:hAnsi="Arial" w:cs="Arial"/>
          <w:sz w:val="24"/>
          <w:szCs w:val="24"/>
        </w:rPr>
        <w:t>carry out</w:t>
      </w:r>
      <w:r w:rsidRPr="00B1350E">
        <w:rPr>
          <w:rFonts w:ascii="Arial" w:hAnsi="Arial" w:cs="Arial"/>
          <w:sz w:val="24"/>
          <w:szCs w:val="24"/>
        </w:rPr>
        <w:t xml:space="preserve">.  </w:t>
      </w:r>
      <w:r w:rsidR="0008695D" w:rsidRPr="00B1350E">
        <w:rPr>
          <w:rFonts w:ascii="Arial" w:hAnsi="Arial" w:cs="Arial"/>
          <w:sz w:val="24"/>
          <w:szCs w:val="24"/>
        </w:rPr>
        <w:t xml:space="preserve">Further, </w:t>
      </w:r>
      <w:r w:rsidR="006F0A63" w:rsidRPr="00B1350E">
        <w:rPr>
          <w:rFonts w:ascii="Arial" w:hAnsi="Arial" w:cs="Arial"/>
          <w:sz w:val="24"/>
          <w:szCs w:val="24"/>
        </w:rPr>
        <w:t xml:space="preserve">many </w:t>
      </w:r>
      <w:r w:rsidR="003E32C4" w:rsidRPr="00B1350E">
        <w:rPr>
          <w:rFonts w:ascii="Arial" w:hAnsi="Arial" w:cs="Arial"/>
          <w:sz w:val="24"/>
          <w:szCs w:val="24"/>
        </w:rPr>
        <w:t>SLAA</w:t>
      </w:r>
      <w:r w:rsidR="006F0A63" w:rsidRPr="00B1350E">
        <w:rPr>
          <w:rFonts w:ascii="Arial" w:hAnsi="Arial" w:cs="Arial"/>
          <w:sz w:val="24"/>
          <w:szCs w:val="24"/>
        </w:rPr>
        <w:t>s</w:t>
      </w:r>
      <w:r w:rsidR="003E32C4" w:rsidRPr="00B1350E">
        <w:rPr>
          <w:rFonts w:ascii="Arial" w:hAnsi="Arial" w:cs="Arial"/>
          <w:sz w:val="24"/>
          <w:szCs w:val="24"/>
        </w:rPr>
        <w:t xml:space="preserve"> </w:t>
      </w:r>
      <w:r w:rsidR="006F0A63" w:rsidRPr="00B1350E">
        <w:rPr>
          <w:rFonts w:ascii="Arial" w:hAnsi="Arial" w:cs="Arial"/>
          <w:sz w:val="24"/>
          <w:szCs w:val="24"/>
        </w:rPr>
        <w:t>have</w:t>
      </w:r>
      <w:r w:rsidR="003E32C4" w:rsidRPr="00B1350E">
        <w:rPr>
          <w:rFonts w:ascii="Arial" w:hAnsi="Arial" w:cs="Arial"/>
          <w:sz w:val="24"/>
          <w:szCs w:val="24"/>
        </w:rPr>
        <w:t xml:space="preserve"> redistribute</w:t>
      </w:r>
      <w:r w:rsidR="006F0A63" w:rsidRPr="00B1350E">
        <w:rPr>
          <w:rFonts w:ascii="Arial" w:hAnsi="Arial" w:cs="Arial"/>
          <w:sz w:val="24"/>
          <w:szCs w:val="24"/>
        </w:rPr>
        <w:t>d</w:t>
      </w:r>
      <w:r w:rsidR="003E32C4" w:rsidRPr="00B1350E">
        <w:rPr>
          <w:rFonts w:ascii="Arial" w:hAnsi="Arial" w:cs="Arial"/>
          <w:sz w:val="24"/>
          <w:szCs w:val="24"/>
        </w:rPr>
        <w:t xml:space="preserve"> </w:t>
      </w:r>
      <w:r w:rsidR="00C058FD">
        <w:rPr>
          <w:rFonts w:ascii="Arial" w:hAnsi="Arial" w:cs="Arial"/>
          <w:sz w:val="24"/>
          <w:szCs w:val="24"/>
        </w:rPr>
        <w:t xml:space="preserve">a large share of </w:t>
      </w:r>
      <w:r w:rsidR="003E32C4" w:rsidRPr="00B1350E">
        <w:rPr>
          <w:rFonts w:ascii="Arial" w:hAnsi="Arial" w:cs="Arial"/>
          <w:sz w:val="24"/>
          <w:szCs w:val="24"/>
        </w:rPr>
        <w:t>funds to local public libraries</w:t>
      </w:r>
      <w:r w:rsidR="0008695D" w:rsidRPr="00B1350E">
        <w:rPr>
          <w:rFonts w:ascii="Arial" w:hAnsi="Arial" w:cs="Arial"/>
          <w:sz w:val="24"/>
          <w:szCs w:val="24"/>
        </w:rPr>
        <w:t xml:space="preserve"> </w:t>
      </w:r>
      <w:r w:rsidR="00747D81">
        <w:rPr>
          <w:rFonts w:ascii="Arial" w:hAnsi="Arial" w:cs="Arial"/>
          <w:sz w:val="24"/>
          <w:szCs w:val="24"/>
        </w:rPr>
        <w:t xml:space="preserve">through project grants </w:t>
      </w:r>
      <w:r w:rsidR="006F0A63" w:rsidRPr="00B1350E">
        <w:rPr>
          <w:rFonts w:ascii="Arial" w:hAnsi="Arial" w:cs="Arial"/>
          <w:sz w:val="24"/>
          <w:szCs w:val="24"/>
        </w:rPr>
        <w:t xml:space="preserve">to </w:t>
      </w:r>
      <w:r w:rsidR="0008695D" w:rsidRPr="00B1350E">
        <w:rPr>
          <w:rFonts w:ascii="Arial" w:hAnsi="Arial" w:cs="Arial"/>
          <w:sz w:val="24"/>
          <w:szCs w:val="24"/>
        </w:rPr>
        <w:t xml:space="preserve">tailor services and </w:t>
      </w:r>
      <w:r w:rsidR="006F0A63" w:rsidRPr="00B1350E">
        <w:rPr>
          <w:rFonts w:ascii="Arial" w:hAnsi="Arial" w:cs="Arial"/>
          <w:sz w:val="24"/>
          <w:szCs w:val="24"/>
        </w:rPr>
        <w:t xml:space="preserve">programs </w:t>
      </w:r>
      <w:r w:rsidR="0008695D" w:rsidRPr="00B1350E">
        <w:rPr>
          <w:rFonts w:ascii="Arial" w:hAnsi="Arial" w:cs="Arial"/>
          <w:sz w:val="24"/>
          <w:szCs w:val="24"/>
        </w:rPr>
        <w:t>to various communities</w:t>
      </w:r>
      <w:r w:rsidR="003E32C4" w:rsidRPr="00B1350E">
        <w:rPr>
          <w:rFonts w:ascii="Arial" w:hAnsi="Arial" w:cs="Arial"/>
          <w:sz w:val="24"/>
          <w:szCs w:val="24"/>
        </w:rPr>
        <w:t xml:space="preserve">.  Consequently, three </w:t>
      </w:r>
      <w:r w:rsidR="00420CFB" w:rsidRPr="00B1350E">
        <w:rPr>
          <w:rFonts w:ascii="Arial" w:hAnsi="Arial" w:cs="Arial"/>
          <w:sz w:val="24"/>
          <w:szCs w:val="24"/>
        </w:rPr>
        <w:t xml:space="preserve">governmental </w:t>
      </w:r>
      <w:r w:rsidR="003E32C4" w:rsidRPr="00B1350E">
        <w:rPr>
          <w:rFonts w:ascii="Arial" w:hAnsi="Arial" w:cs="Arial"/>
          <w:sz w:val="24"/>
          <w:szCs w:val="24"/>
        </w:rPr>
        <w:t xml:space="preserve">actors </w:t>
      </w:r>
      <w:r w:rsidR="006F0A63" w:rsidRPr="00B1350E">
        <w:rPr>
          <w:rFonts w:ascii="Arial" w:hAnsi="Arial" w:cs="Arial"/>
          <w:sz w:val="24"/>
          <w:szCs w:val="24"/>
        </w:rPr>
        <w:t>interface</w:t>
      </w:r>
      <w:r w:rsidR="002B088F" w:rsidRPr="00B1350E">
        <w:rPr>
          <w:rFonts w:ascii="Arial" w:hAnsi="Arial" w:cs="Arial"/>
          <w:sz w:val="24"/>
          <w:szCs w:val="24"/>
        </w:rPr>
        <w:t>--</w:t>
      </w:r>
      <w:r w:rsidR="003E32C4" w:rsidRPr="00B1350E">
        <w:rPr>
          <w:rFonts w:ascii="Arial" w:hAnsi="Arial" w:cs="Arial"/>
          <w:sz w:val="24"/>
          <w:szCs w:val="24"/>
        </w:rPr>
        <w:t>IMLS, the SLAA</w:t>
      </w:r>
      <w:r w:rsidR="006F0A63" w:rsidRPr="00B1350E">
        <w:rPr>
          <w:rFonts w:ascii="Arial" w:hAnsi="Arial" w:cs="Arial"/>
          <w:sz w:val="24"/>
          <w:szCs w:val="24"/>
        </w:rPr>
        <w:t>s</w:t>
      </w:r>
      <w:r w:rsidR="003E32C4" w:rsidRPr="00B1350E">
        <w:rPr>
          <w:rFonts w:ascii="Arial" w:hAnsi="Arial" w:cs="Arial"/>
          <w:sz w:val="24"/>
          <w:szCs w:val="24"/>
        </w:rPr>
        <w:t xml:space="preserve">, and </w:t>
      </w:r>
      <w:r w:rsidR="00747D81">
        <w:rPr>
          <w:rFonts w:ascii="Arial" w:hAnsi="Arial" w:cs="Arial"/>
          <w:sz w:val="24"/>
          <w:szCs w:val="24"/>
        </w:rPr>
        <w:t xml:space="preserve">local </w:t>
      </w:r>
      <w:r w:rsidR="003E32C4" w:rsidRPr="00B1350E">
        <w:rPr>
          <w:rFonts w:ascii="Arial" w:hAnsi="Arial" w:cs="Arial"/>
          <w:sz w:val="24"/>
          <w:szCs w:val="24"/>
        </w:rPr>
        <w:lastRenderedPageBreak/>
        <w:t>libraries</w:t>
      </w:r>
      <w:r w:rsidR="006F0A63" w:rsidRPr="00B1350E">
        <w:rPr>
          <w:rFonts w:ascii="Arial" w:hAnsi="Arial" w:cs="Arial"/>
          <w:sz w:val="24"/>
          <w:szCs w:val="24"/>
        </w:rPr>
        <w:t xml:space="preserve">.  Much multi-level </w:t>
      </w:r>
      <w:r w:rsidR="003E32C4" w:rsidRPr="00B1350E">
        <w:rPr>
          <w:rFonts w:ascii="Arial" w:hAnsi="Arial" w:cs="Arial"/>
          <w:sz w:val="24"/>
          <w:szCs w:val="24"/>
        </w:rPr>
        <w:t>cooperation</w:t>
      </w:r>
      <w:r w:rsidR="006F0A63" w:rsidRPr="00B1350E">
        <w:rPr>
          <w:rFonts w:ascii="Arial" w:hAnsi="Arial" w:cs="Arial"/>
          <w:sz w:val="24"/>
          <w:szCs w:val="24"/>
        </w:rPr>
        <w:t xml:space="preserve"> </w:t>
      </w:r>
      <w:r w:rsidR="002B088F" w:rsidRPr="00B1350E">
        <w:rPr>
          <w:rFonts w:ascii="Arial" w:hAnsi="Arial" w:cs="Arial"/>
          <w:sz w:val="24"/>
          <w:szCs w:val="24"/>
        </w:rPr>
        <w:t>is ne</w:t>
      </w:r>
      <w:r w:rsidR="00E94D24" w:rsidRPr="00B1350E">
        <w:rPr>
          <w:rFonts w:ascii="Arial" w:hAnsi="Arial" w:cs="Arial"/>
          <w:sz w:val="24"/>
          <w:szCs w:val="24"/>
        </w:rPr>
        <w:t>e</w:t>
      </w:r>
      <w:r w:rsidR="002B088F" w:rsidRPr="00B1350E">
        <w:rPr>
          <w:rFonts w:ascii="Arial" w:hAnsi="Arial" w:cs="Arial"/>
          <w:sz w:val="24"/>
          <w:szCs w:val="24"/>
        </w:rPr>
        <w:t>ded</w:t>
      </w:r>
      <w:r w:rsidR="003E32C4" w:rsidRPr="00B1350E">
        <w:rPr>
          <w:rFonts w:ascii="Arial" w:hAnsi="Arial" w:cs="Arial"/>
          <w:sz w:val="24"/>
          <w:szCs w:val="24"/>
        </w:rPr>
        <w:t>.</w:t>
      </w:r>
      <w:r w:rsidR="003E32C4" w:rsidRPr="00B1350E">
        <w:rPr>
          <w:rFonts w:ascii="Arial" w:hAnsi="Arial" w:cs="Arial"/>
          <w:color w:val="1F497D"/>
          <w:sz w:val="24"/>
          <w:szCs w:val="24"/>
        </w:rPr>
        <w:t xml:space="preserve">  </w:t>
      </w:r>
      <w:r w:rsidR="00653F36">
        <w:rPr>
          <w:rFonts w:ascii="Arial" w:hAnsi="Arial" w:cs="Arial"/>
          <w:color w:val="1F497D"/>
          <w:sz w:val="24"/>
          <w:szCs w:val="24"/>
        </w:rPr>
        <w:t xml:space="preserve">Perhaps reflecting the absence of regulatory laws, the level of intergovernmental cooperation </w:t>
      </w:r>
      <w:r w:rsidR="00C058FD">
        <w:rPr>
          <w:rFonts w:ascii="Arial" w:hAnsi="Arial" w:cs="Arial"/>
          <w:color w:val="1F497D"/>
          <w:sz w:val="24"/>
          <w:szCs w:val="24"/>
        </w:rPr>
        <w:t xml:space="preserve">between IMLS and the SLAAs </w:t>
      </w:r>
      <w:r w:rsidR="00653F36">
        <w:rPr>
          <w:rFonts w:ascii="Arial" w:hAnsi="Arial" w:cs="Arial"/>
          <w:color w:val="1F497D"/>
          <w:sz w:val="24"/>
          <w:szCs w:val="24"/>
        </w:rPr>
        <w:t>always has been high.</w:t>
      </w:r>
    </w:p>
    <w:p w:rsidR="00B64614" w:rsidRPr="00B1350E" w:rsidRDefault="006F0A63" w:rsidP="00B64614">
      <w:pPr>
        <w:spacing w:before="120" w:after="120" w:line="360" w:lineRule="auto"/>
        <w:rPr>
          <w:rFonts w:ascii="Arial" w:hAnsi="Arial" w:cs="Arial"/>
        </w:rPr>
      </w:pPr>
      <w:r w:rsidRPr="00B1350E">
        <w:rPr>
          <w:rFonts w:ascii="Arial" w:hAnsi="Arial" w:cs="Arial"/>
        </w:rPr>
        <w:t>S</w:t>
      </w:r>
      <w:r w:rsidR="00B64614" w:rsidRPr="00B1350E">
        <w:rPr>
          <w:rFonts w:ascii="Arial" w:hAnsi="Arial" w:cs="Arial"/>
        </w:rPr>
        <w:t>ince the formal parameters of Grants to States have been shaped through</w:t>
      </w:r>
      <w:r w:rsidR="002B088F" w:rsidRPr="00B1350E">
        <w:rPr>
          <w:rFonts w:ascii="Arial" w:hAnsi="Arial" w:cs="Arial"/>
        </w:rPr>
        <w:t xml:space="preserve"> the</w:t>
      </w:r>
      <w:r w:rsidR="00B64614" w:rsidRPr="00B1350E">
        <w:rPr>
          <w:rFonts w:ascii="Arial" w:hAnsi="Arial" w:cs="Arial"/>
        </w:rPr>
        <w:t xml:space="preserve"> legislative process, like most </w:t>
      </w:r>
      <w:r w:rsidRPr="00B1350E">
        <w:rPr>
          <w:rFonts w:ascii="Arial" w:hAnsi="Arial" w:cs="Arial"/>
        </w:rPr>
        <w:t xml:space="preserve">such </w:t>
      </w:r>
      <w:r w:rsidR="00B64614" w:rsidRPr="00B1350E">
        <w:rPr>
          <w:rFonts w:ascii="Arial" w:hAnsi="Arial" w:cs="Arial"/>
        </w:rPr>
        <w:t xml:space="preserve">products, its intentions are purposely broad. </w:t>
      </w:r>
      <w:r w:rsidR="002B088F" w:rsidRPr="00B1350E">
        <w:rPr>
          <w:rFonts w:ascii="Arial" w:hAnsi="Arial" w:cs="Arial"/>
        </w:rPr>
        <w:t xml:space="preserve"> </w:t>
      </w:r>
      <w:r w:rsidR="001F45DF" w:rsidRPr="00B1350E">
        <w:rPr>
          <w:rFonts w:ascii="Arial" w:hAnsi="Arial" w:cs="Arial"/>
        </w:rPr>
        <w:t xml:space="preserve">The </w:t>
      </w:r>
      <w:r w:rsidR="00653F36">
        <w:rPr>
          <w:rFonts w:ascii="Arial" w:hAnsi="Arial" w:cs="Arial"/>
        </w:rPr>
        <w:t>LSTA</w:t>
      </w:r>
      <w:r w:rsidR="00B64614" w:rsidRPr="00B1350E">
        <w:rPr>
          <w:rFonts w:ascii="Arial" w:hAnsi="Arial" w:cs="Arial"/>
        </w:rPr>
        <w:t xml:space="preserve"> has always </w:t>
      </w:r>
      <w:r w:rsidRPr="00B1350E">
        <w:rPr>
          <w:rFonts w:ascii="Arial" w:hAnsi="Arial" w:cs="Arial"/>
        </w:rPr>
        <w:t xml:space="preserve">stated </w:t>
      </w:r>
      <w:r w:rsidR="0008695D" w:rsidRPr="00B1350E">
        <w:rPr>
          <w:rFonts w:ascii="Arial" w:hAnsi="Arial" w:cs="Arial"/>
        </w:rPr>
        <w:t xml:space="preserve">over-arching </w:t>
      </w:r>
      <w:r w:rsidR="006759E4" w:rsidRPr="00B1350E">
        <w:rPr>
          <w:rFonts w:ascii="Arial" w:hAnsi="Arial" w:cs="Arial"/>
        </w:rPr>
        <w:t>purposes, such</w:t>
      </w:r>
      <w:r w:rsidR="0008695D" w:rsidRPr="00B1350E">
        <w:rPr>
          <w:rFonts w:ascii="Arial" w:hAnsi="Arial" w:cs="Arial"/>
        </w:rPr>
        <w:t xml:space="preserve"> as</w:t>
      </w:r>
      <w:r w:rsidR="00B64614" w:rsidRPr="00B1350E">
        <w:rPr>
          <w:rFonts w:ascii="Arial" w:hAnsi="Arial" w:cs="Arial"/>
        </w:rPr>
        <w:t xml:space="preserve"> rural library service</w:t>
      </w:r>
      <w:r w:rsidR="0008695D" w:rsidRPr="00B1350E">
        <w:rPr>
          <w:rFonts w:ascii="Arial" w:hAnsi="Arial" w:cs="Arial"/>
        </w:rPr>
        <w:t>s</w:t>
      </w:r>
      <w:r w:rsidR="00B64614" w:rsidRPr="00B1350E">
        <w:rPr>
          <w:rFonts w:ascii="Arial" w:hAnsi="Arial" w:cs="Arial"/>
        </w:rPr>
        <w:t>, technology infrastructure, and mo</w:t>
      </w:r>
      <w:r w:rsidR="0008695D" w:rsidRPr="00B1350E">
        <w:rPr>
          <w:rFonts w:ascii="Arial" w:hAnsi="Arial" w:cs="Arial"/>
        </w:rPr>
        <w:t>re</w:t>
      </w:r>
      <w:r w:rsidRPr="00B1350E">
        <w:rPr>
          <w:rFonts w:ascii="Arial" w:hAnsi="Arial" w:cs="Arial"/>
        </w:rPr>
        <w:t>.  R</w:t>
      </w:r>
      <w:r w:rsidR="00B64614" w:rsidRPr="00B1350E">
        <w:rPr>
          <w:rFonts w:ascii="Arial" w:hAnsi="Arial" w:cs="Arial"/>
        </w:rPr>
        <w:t>ecently</w:t>
      </w:r>
      <w:r w:rsidR="0008695D" w:rsidRPr="00B1350E">
        <w:rPr>
          <w:rFonts w:ascii="Arial" w:hAnsi="Arial" w:cs="Arial"/>
        </w:rPr>
        <w:t>,</w:t>
      </w:r>
      <w:r w:rsidR="00B64614" w:rsidRPr="00B1350E">
        <w:rPr>
          <w:rFonts w:ascii="Arial" w:hAnsi="Arial" w:cs="Arial"/>
        </w:rPr>
        <w:t xml:space="preserve"> library-to-library collaboration and library partnerships with non-library </w:t>
      </w:r>
      <w:r w:rsidR="006759E4" w:rsidRPr="00B1350E">
        <w:rPr>
          <w:rFonts w:ascii="Arial" w:hAnsi="Arial" w:cs="Arial"/>
        </w:rPr>
        <w:t>organizations</w:t>
      </w:r>
      <w:r w:rsidRPr="00B1350E">
        <w:rPr>
          <w:rFonts w:ascii="Arial" w:hAnsi="Arial" w:cs="Arial"/>
        </w:rPr>
        <w:t xml:space="preserve"> have been highlighted</w:t>
      </w:r>
      <w:r w:rsidR="006759E4" w:rsidRPr="00B1350E">
        <w:rPr>
          <w:rFonts w:ascii="Arial" w:hAnsi="Arial" w:cs="Arial"/>
        </w:rPr>
        <w:t xml:space="preserve">. </w:t>
      </w:r>
      <w:r w:rsidRPr="00B1350E">
        <w:rPr>
          <w:rFonts w:ascii="Arial" w:hAnsi="Arial" w:cs="Arial"/>
        </w:rPr>
        <w:t xml:space="preserve"> </w:t>
      </w:r>
      <w:r w:rsidR="00747D81">
        <w:rPr>
          <w:rFonts w:ascii="Arial" w:hAnsi="Arial" w:cs="Arial"/>
        </w:rPr>
        <w:t xml:space="preserve">The </w:t>
      </w:r>
      <w:r w:rsidR="00653F36">
        <w:rPr>
          <w:rFonts w:ascii="Arial" w:hAnsi="Arial" w:cs="Arial"/>
        </w:rPr>
        <w:t>LSTA</w:t>
      </w:r>
      <w:r w:rsidRPr="00B1350E">
        <w:rPr>
          <w:rFonts w:ascii="Arial" w:hAnsi="Arial" w:cs="Arial"/>
        </w:rPr>
        <w:t xml:space="preserve"> </w:t>
      </w:r>
      <w:r w:rsidR="00747D81">
        <w:rPr>
          <w:rFonts w:ascii="Arial" w:hAnsi="Arial" w:cs="Arial"/>
        </w:rPr>
        <w:t xml:space="preserve">however </w:t>
      </w:r>
      <w:r w:rsidR="009933B7">
        <w:rPr>
          <w:rFonts w:ascii="Arial" w:hAnsi="Arial" w:cs="Arial"/>
        </w:rPr>
        <w:t>h</w:t>
      </w:r>
      <w:r w:rsidRPr="00B1350E">
        <w:rPr>
          <w:rFonts w:ascii="Arial" w:hAnsi="Arial" w:cs="Arial"/>
        </w:rPr>
        <w:t xml:space="preserve">as never </w:t>
      </w:r>
      <w:r w:rsidR="006759E4" w:rsidRPr="00B1350E">
        <w:rPr>
          <w:rFonts w:ascii="Arial" w:hAnsi="Arial" w:cs="Arial"/>
        </w:rPr>
        <w:t>articulated explicit</w:t>
      </w:r>
      <w:r w:rsidR="00B64614" w:rsidRPr="00B1350E">
        <w:rPr>
          <w:rFonts w:ascii="Arial" w:hAnsi="Arial" w:cs="Arial"/>
        </w:rPr>
        <w:t xml:space="preserve"> outcomes</w:t>
      </w:r>
      <w:r w:rsidR="002B088F" w:rsidRPr="00B1350E">
        <w:rPr>
          <w:rFonts w:ascii="Arial" w:hAnsi="Arial" w:cs="Arial"/>
        </w:rPr>
        <w:t xml:space="preserve"> </w:t>
      </w:r>
      <w:r w:rsidR="00747D81">
        <w:rPr>
          <w:rFonts w:ascii="Arial" w:hAnsi="Arial" w:cs="Arial"/>
        </w:rPr>
        <w:t xml:space="preserve">through this program </w:t>
      </w:r>
      <w:r w:rsidR="002B088F" w:rsidRPr="00B1350E">
        <w:rPr>
          <w:rFonts w:ascii="Arial" w:hAnsi="Arial" w:cs="Arial"/>
        </w:rPr>
        <w:t xml:space="preserve">that </w:t>
      </w:r>
      <w:r w:rsidR="00747D81">
        <w:rPr>
          <w:rFonts w:ascii="Arial" w:hAnsi="Arial" w:cs="Arial"/>
        </w:rPr>
        <w:t>are intended to benefit</w:t>
      </w:r>
      <w:r w:rsidR="002B088F" w:rsidRPr="00B1350E">
        <w:rPr>
          <w:rFonts w:ascii="Arial" w:hAnsi="Arial" w:cs="Arial"/>
        </w:rPr>
        <w:t xml:space="preserve"> </w:t>
      </w:r>
      <w:r w:rsidR="00F13906" w:rsidRPr="00B1350E">
        <w:rPr>
          <w:rFonts w:ascii="Arial" w:hAnsi="Arial" w:cs="Arial"/>
        </w:rPr>
        <w:t>participant circumstances.</w:t>
      </w:r>
    </w:p>
    <w:p w:rsidR="008B1D8F" w:rsidRPr="00B1350E" w:rsidRDefault="00B64614" w:rsidP="008B1D8F">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Third, </w:t>
      </w:r>
      <w:r w:rsidR="00653F36">
        <w:rPr>
          <w:rFonts w:ascii="Arial" w:hAnsi="Arial" w:cs="Arial"/>
          <w:sz w:val="24"/>
          <w:szCs w:val="24"/>
        </w:rPr>
        <w:t xml:space="preserve">LSTA </w:t>
      </w:r>
      <w:r w:rsidRPr="00B1350E">
        <w:rPr>
          <w:rFonts w:ascii="Arial" w:hAnsi="Arial" w:cs="Arial"/>
          <w:sz w:val="24"/>
          <w:szCs w:val="24"/>
        </w:rPr>
        <w:t xml:space="preserve">legislation for Grants to States is tied to Congressional authorization for </w:t>
      </w:r>
      <w:r w:rsidR="003E32C4" w:rsidRPr="00B1350E">
        <w:rPr>
          <w:rFonts w:ascii="Arial" w:hAnsi="Arial" w:cs="Arial"/>
          <w:sz w:val="24"/>
          <w:szCs w:val="24"/>
        </w:rPr>
        <w:t>IMLS</w:t>
      </w:r>
      <w:r w:rsidRPr="00B1350E">
        <w:rPr>
          <w:rFonts w:ascii="Arial" w:hAnsi="Arial" w:cs="Arial"/>
          <w:sz w:val="24"/>
          <w:szCs w:val="24"/>
        </w:rPr>
        <w:t xml:space="preserve">. </w:t>
      </w:r>
      <w:r w:rsidR="00171322" w:rsidRPr="00B1350E">
        <w:rPr>
          <w:rFonts w:ascii="Arial" w:hAnsi="Arial" w:cs="Arial"/>
          <w:sz w:val="24"/>
          <w:szCs w:val="24"/>
        </w:rPr>
        <w:t xml:space="preserve"> </w:t>
      </w:r>
      <w:r w:rsidR="003E32C4" w:rsidRPr="00B1350E">
        <w:rPr>
          <w:rFonts w:ascii="Arial" w:hAnsi="Arial" w:cs="Arial"/>
          <w:sz w:val="24"/>
          <w:szCs w:val="24"/>
        </w:rPr>
        <w:t>Since the first Library Services bill was signed on June</w:t>
      </w:r>
      <w:r w:rsidR="003E32C4" w:rsidRPr="00B1350E">
        <w:rPr>
          <w:rFonts w:ascii="Arial" w:hAnsi="Arial" w:cs="Arial"/>
          <w:color w:val="1F497D"/>
          <w:sz w:val="24"/>
          <w:szCs w:val="24"/>
        </w:rPr>
        <w:t xml:space="preserve"> </w:t>
      </w:r>
      <w:r w:rsidR="003E32C4" w:rsidRPr="00B1350E">
        <w:rPr>
          <w:rFonts w:ascii="Arial" w:hAnsi="Arial" w:cs="Arial"/>
          <w:sz w:val="24"/>
          <w:szCs w:val="24"/>
        </w:rPr>
        <w:t xml:space="preserve">19, 1956, each federal authorization has </w:t>
      </w:r>
      <w:r w:rsidR="00171322" w:rsidRPr="00B1350E">
        <w:rPr>
          <w:rFonts w:ascii="Arial" w:hAnsi="Arial" w:cs="Arial"/>
          <w:sz w:val="24"/>
          <w:szCs w:val="24"/>
        </w:rPr>
        <w:t>stipulated</w:t>
      </w:r>
      <w:r w:rsidR="003E32C4" w:rsidRPr="00B1350E">
        <w:rPr>
          <w:rFonts w:ascii="Arial" w:hAnsi="Arial" w:cs="Arial"/>
          <w:sz w:val="24"/>
          <w:szCs w:val="24"/>
        </w:rPr>
        <w:t xml:space="preserve"> that each state </w:t>
      </w:r>
      <w:r w:rsidR="006F0A63" w:rsidRPr="00B1350E">
        <w:rPr>
          <w:rFonts w:ascii="Arial" w:hAnsi="Arial" w:cs="Arial"/>
          <w:sz w:val="24"/>
          <w:szCs w:val="24"/>
        </w:rPr>
        <w:t>receiving</w:t>
      </w:r>
      <w:r w:rsidR="003E32C4" w:rsidRPr="00B1350E">
        <w:rPr>
          <w:rFonts w:ascii="Arial" w:hAnsi="Arial" w:cs="Arial"/>
          <w:sz w:val="24"/>
          <w:szCs w:val="24"/>
        </w:rPr>
        <w:t xml:space="preserve"> funding must provide a formal plan</w:t>
      </w:r>
      <w:r w:rsidR="006F0A63" w:rsidRPr="00B1350E">
        <w:rPr>
          <w:rFonts w:ascii="Arial" w:hAnsi="Arial" w:cs="Arial"/>
          <w:sz w:val="24"/>
          <w:szCs w:val="24"/>
        </w:rPr>
        <w:t xml:space="preserve"> for its use</w:t>
      </w:r>
      <w:r w:rsidR="003E32C4" w:rsidRPr="00B1350E">
        <w:rPr>
          <w:rFonts w:ascii="Arial" w:hAnsi="Arial" w:cs="Arial"/>
          <w:sz w:val="24"/>
          <w:szCs w:val="24"/>
        </w:rPr>
        <w:t xml:space="preserve">. </w:t>
      </w:r>
      <w:r w:rsidR="00171322" w:rsidRPr="00B1350E">
        <w:rPr>
          <w:rFonts w:ascii="Arial" w:hAnsi="Arial" w:cs="Arial"/>
          <w:sz w:val="24"/>
          <w:szCs w:val="24"/>
        </w:rPr>
        <w:t xml:space="preserve"> </w:t>
      </w:r>
      <w:r w:rsidR="003E32C4" w:rsidRPr="00B1350E">
        <w:rPr>
          <w:rFonts w:ascii="Arial" w:hAnsi="Arial" w:cs="Arial"/>
          <w:sz w:val="24"/>
          <w:szCs w:val="24"/>
        </w:rPr>
        <w:t>The federal government began</w:t>
      </w:r>
      <w:r w:rsidR="00171322" w:rsidRPr="00B1350E">
        <w:rPr>
          <w:rFonts w:ascii="Arial" w:hAnsi="Arial" w:cs="Arial"/>
          <w:sz w:val="24"/>
          <w:szCs w:val="24"/>
        </w:rPr>
        <w:t xml:space="preserve"> to institute </w:t>
      </w:r>
      <w:r w:rsidR="003E32C4" w:rsidRPr="00B1350E">
        <w:rPr>
          <w:rFonts w:ascii="Arial" w:hAnsi="Arial" w:cs="Arial"/>
          <w:sz w:val="24"/>
          <w:szCs w:val="24"/>
        </w:rPr>
        <w:t>evaluation requirement</w:t>
      </w:r>
      <w:r w:rsidR="006F0A63" w:rsidRPr="00B1350E">
        <w:rPr>
          <w:rFonts w:ascii="Arial" w:hAnsi="Arial" w:cs="Arial"/>
          <w:sz w:val="24"/>
          <w:szCs w:val="24"/>
        </w:rPr>
        <w:t>s</w:t>
      </w:r>
      <w:r w:rsidR="003E32C4" w:rsidRPr="00B1350E">
        <w:rPr>
          <w:rFonts w:ascii="Arial" w:hAnsi="Arial" w:cs="Arial"/>
          <w:sz w:val="24"/>
          <w:szCs w:val="24"/>
        </w:rPr>
        <w:t xml:space="preserve"> in 1990.   IMLS was </w:t>
      </w:r>
      <w:r w:rsidR="00747D81">
        <w:rPr>
          <w:rFonts w:ascii="Arial" w:hAnsi="Arial" w:cs="Arial"/>
          <w:sz w:val="24"/>
          <w:szCs w:val="24"/>
        </w:rPr>
        <w:t>created in 1996 with</w:t>
      </w:r>
      <w:r w:rsidR="00171322" w:rsidRPr="00B1350E">
        <w:rPr>
          <w:rFonts w:ascii="Arial" w:hAnsi="Arial" w:cs="Arial"/>
          <w:sz w:val="24"/>
          <w:szCs w:val="24"/>
        </w:rPr>
        <w:t xml:space="preserve"> funding both the library and museum communities </w:t>
      </w:r>
      <w:r w:rsidR="00747D81">
        <w:rPr>
          <w:rFonts w:ascii="Arial" w:hAnsi="Arial" w:cs="Arial"/>
          <w:sz w:val="24"/>
          <w:szCs w:val="24"/>
        </w:rPr>
        <w:t xml:space="preserve">amalgamated </w:t>
      </w:r>
      <w:r w:rsidR="00171322" w:rsidRPr="00B1350E">
        <w:rPr>
          <w:rFonts w:ascii="Arial" w:hAnsi="Arial" w:cs="Arial"/>
          <w:sz w:val="24"/>
          <w:szCs w:val="24"/>
        </w:rPr>
        <w:t>in the</w:t>
      </w:r>
      <w:r w:rsidR="003E32C4" w:rsidRPr="00B1350E">
        <w:rPr>
          <w:rFonts w:ascii="Arial" w:hAnsi="Arial" w:cs="Arial"/>
          <w:sz w:val="24"/>
          <w:szCs w:val="24"/>
        </w:rPr>
        <w:t xml:space="preserve"> </w:t>
      </w:r>
      <w:r w:rsidR="00747D81">
        <w:rPr>
          <w:rFonts w:ascii="Arial" w:hAnsi="Arial" w:cs="Arial"/>
          <w:sz w:val="24"/>
          <w:szCs w:val="24"/>
        </w:rPr>
        <w:t>Congressional</w:t>
      </w:r>
      <w:r w:rsidR="003E32C4" w:rsidRPr="00B1350E">
        <w:rPr>
          <w:rFonts w:ascii="Arial" w:hAnsi="Arial" w:cs="Arial"/>
          <w:sz w:val="24"/>
          <w:szCs w:val="24"/>
        </w:rPr>
        <w:t xml:space="preserve"> legislation</w:t>
      </w:r>
      <w:r w:rsidR="00171322" w:rsidRPr="00B1350E">
        <w:rPr>
          <w:rFonts w:ascii="Arial" w:hAnsi="Arial" w:cs="Arial"/>
          <w:sz w:val="24"/>
          <w:szCs w:val="24"/>
        </w:rPr>
        <w:t>.  That l</w:t>
      </w:r>
      <w:r w:rsidR="003E32C4" w:rsidRPr="00B1350E">
        <w:rPr>
          <w:rFonts w:ascii="Arial" w:hAnsi="Arial" w:cs="Arial"/>
          <w:sz w:val="24"/>
          <w:szCs w:val="24"/>
        </w:rPr>
        <w:t xml:space="preserve">egislation </w:t>
      </w:r>
      <w:r w:rsidR="00171322" w:rsidRPr="00B1350E">
        <w:rPr>
          <w:rFonts w:ascii="Arial" w:hAnsi="Arial" w:cs="Arial"/>
          <w:sz w:val="24"/>
          <w:szCs w:val="24"/>
        </w:rPr>
        <w:t>required</w:t>
      </w:r>
      <w:r w:rsidR="003E32C4" w:rsidRPr="00B1350E">
        <w:rPr>
          <w:rFonts w:ascii="Arial" w:hAnsi="Arial" w:cs="Arial"/>
          <w:sz w:val="24"/>
          <w:szCs w:val="24"/>
        </w:rPr>
        <w:t xml:space="preserve"> that each SLAA conduct an independent evaluation of </w:t>
      </w:r>
      <w:r w:rsidR="00171322" w:rsidRPr="00B1350E">
        <w:rPr>
          <w:rFonts w:ascii="Arial" w:hAnsi="Arial" w:cs="Arial"/>
          <w:sz w:val="24"/>
          <w:szCs w:val="24"/>
        </w:rPr>
        <w:t xml:space="preserve">the results of </w:t>
      </w:r>
      <w:r w:rsidR="003E32C4" w:rsidRPr="00B1350E">
        <w:rPr>
          <w:rFonts w:ascii="Arial" w:hAnsi="Arial" w:cs="Arial"/>
          <w:sz w:val="24"/>
          <w:szCs w:val="24"/>
        </w:rPr>
        <w:t>its five</w:t>
      </w:r>
      <w:r w:rsidR="00171322" w:rsidRPr="00B1350E">
        <w:rPr>
          <w:rFonts w:ascii="Arial" w:hAnsi="Arial" w:cs="Arial"/>
          <w:sz w:val="24"/>
          <w:szCs w:val="24"/>
        </w:rPr>
        <w:t>-</w:t>
      </w:r>
      <w:r w:rsidR="003E32C4" w:rsidRPr="00B1350E">
        <w:rPr>
          <w:rFonts w:ascii="Arial" w:hAnsi="Arial" w:cs="Arial"/>
          <w:sz w:val="24"/>
          <w:szCs w:val="24"/>
        </w:rPr>
        <w:t>year plan</w:t>
      </w:r>
      <w:r w:rsidR="00171322" w:rsidRPr="00B1350E">
        <w:rPr>
          <w:rFonts w:ascii="Arial" w:hAnsi="Arial" w:cs="Arial"/>
          <w:sz w:val="24"/>
          <w:szCs w:val="24"/>
        </w:rPr>
        <w:t>.  P</w:t>
      </w:r>
      <w:r w:rsidR="006F0A63" w:rsidRPr="00B1350E">
        <w:rPr>
          <w:rFonts w:ascii="Arial" w:hAnsi="Arial" w:cs="Arial"/>
          <w:sz w:val="24"/>
          <w:szCs w:val="24"/>
        </w:rPr>
        <w:t xml:space="preserve">rocesses were left to </w:t>
      </w:r>
      <w:r w:rsidR="00171322" w:rsidRPr="00B1350E">
        <w:rPr>
          <w:rFonts w:ascii="Arial" w:hAnsi="Arial" w:cs="Arial"/>
          <w:sz w:val="24"/>
          <w:szCs w:val="24"/>
        </w:rPr>
        <w:t>each SLAA</w:t>
      </w:r>
      <w:r w:rsidR="003E32C4" w:rsidRPr="00B1350E">
        <w:rPr>
          <w:rFonts w:ascii="Arial" w:hAnsi="Arial" w:cs="Arial"/>
          <w:sz w:val="24"/>
          <w:szCs w:val="24"/>
        </w:rPr>
        <w:t>.</w:t>
      </w:r>
      <w:r w:rsidRPr="00B1350E">
        <w:rPr>
          <w:rFonts w:ascii="Arial" w:hAnsi="Arial" w:cs="Arial"/>
          <w:sz w:val="24"/>
          <w:szCs w:val="24"/>
        </w:rPr>
        <w:t xml:space="preserve"> </w:t>
      </w:r>
      <w:r w:rsidR="00E1127F" w:rsidRPr="00B1350E">
        <w:rPr>
          <w:rFonts w:ascii="Arial" w:hAnsi="Arial" w:cs="Arial"/>
          <w:sz w:val="24"/>
          <w:szCs w:val="24"/>
        </w:rPr>
        <w:t xml:space="preserve"> </w:t>
      </w:r>
      <w:r w:rsidR="00C40B46" w:rsidRPr="00B1350E">
        <w:rPr>
          <w:rFonts w:ascii="Arial" w:hAnsi="Arial" w:cs="Arial"/>
          <w:sz w:val="24"/>
          <w:szCs w:val="24"/>
        </w:rPr>
        <w:t>Th</w:t>
      </w:r>
      <w:r w:rsidR="00A05FAF" w:rsidRPr="00B1350E">
        <w:rPr>
          <w:rFonts w:ascii="Arial" w:hAnsi="Arial" w:cs="Arial"/>
          <w:sz w:val="24"/>
          <w:szCs w:val="24"/>
        </w:rPr>
        <w:t xml:space="preserve">e federal legislation </w:t>
      </w:r>
      <w:r w:rsidR="00747D81">
        <w:rPr>
          <w:rFonts w:ascii="Arial" w:hAnsi="Arial" w:cs="Arial"/>
          <w:sz w:val="24"/>
          <w:szCs w:val="24"/>
        </w:rPr>
        <w:t xml:space="preserve">however </w:t>
      </w:r>
      <w:r w:rsidR="00117BCF" w:rsidRPr="00B1350E">
        <w:rPr>
          <w:rFonts w:ascii="Arial" w:hAnsi="Arial" w:cs="Arial"/>
          <w:sz w:val="24"/>
          <w:szCs w:val="24"/>
        </w:rPr>
        <w:t>complicates</w:t>
      </w:r>
      <w:r w:rsidR="0008695D" w:rsidRPr="00B1350E">
        <w:rPr>
          <w:rFonts w:ascii="Arial" w:hAnsi="Arial" w:cs="Arial"/>
          <w:sz w:val="24"/>
          <w:szCs w:val="24"/>
        </w:rPr>
        <w:t xml:space="preserve"> fulfilling </w:t>
      </w:r>
      <w:r w:rsidR="006759E4" w:rsidRPr="00B1350E">
        <w:rPr>
          <w:rFonts w:ascii="Arial" w:hAnsi="Arial" w:cs="Arial"/>
          <w:sz w:val="24"/>
          <w:szCs w:val="24"/>
        </w:rPr>
        <w:t>evaluation</w:t>
      </w:r>
      <w:r w:rsidR="0008695D" w:rsidRPr="00B1350E">
        <w:rPr>
          <w:rFonts w:ascii="Arial" w:hAnsi="Arial" w:cs="Arial"/>
          <w:sz w:val="24"/>
          <w:szCs w:val="24"/>
        </w:rPr>
        <w:t xml:space="preserve"> requirements due to a </w:t>
      </w:r>
      <w:r w:rsidR="00A05FAF" w:rsidRPr="00B1350E">
        <w:rPr>
          <w:rFonts w:ascii="Arial" w:hAnsi="Arial" w:cs="Arial"/>
          <w:sz w:val="24"/>
          <w:szCs w:val="24"/>
        </w:rPr>
        <w:t>discontinuity</w:t>
      </w:r>
      <w:r w:rsidR="00117BCF" w:rsidRPr="00B1350E">
        <w:rPr>
          <w:rFonts w:ascii="Arial" w:hAnsi="Arial" w:cs="Arial"/>
          <w:sz w:val="24"/>
          <w:szCs w:val="24"/>
        </w:rPr>
        <w:t xml:space="preserve"> in the timing of the required </w:t>
      </w:r>
      <w:r w:rsidR="00A05FAF" w:rsidRPr="00B1350E">
        <w:rPr>
          <w:rFonts w:ascii="Arial" w:hAnsi="Arial" w:cs="Arial"/>
          <w:sz w:val="24"/>
          <w:szCs w:val="24"/>
        </w:rPr>
        <w:t xml:space="preserve">SLAA five-year plans and five-year </w:t>
      </w:r>
      <w:r w:rsidR="006759E4" w:rsidRPr="00B1350E">
        <w:rPr>
          <w:rFonts w:ascii="Arial" w:hAnsi="Arial" w:cs="Arial"/>
          <w:sz w:val="24"/>
          <w:szCs w:val="24"/>
        </w:rPr>
        <w:t>evaluations</w:t>
      </w:r>
      <w:r w:rsidR="00A05FAF" w:rsidRPr="00B1350E">
        <w:rPr>
          <w:rFonts w:ascii="Arial" w:hAnsi="Arial" w:cs="Arial"/>
          <w:sz w:val="24"/>
          <w:szCs w:val="24"/>
        </w:rPr>
        <w:t xml:space="preserve">. </w:t>
      </w:r>
      <w:r w:rsidR="00C40B46" w:rsidRPr="00B1350E">
        <w:rPr>
          <w:rFonts w:ascii="Arial" w:hAnsi="Arial" w:cs="Arial"/>
          <w:sz w:val="24"/>
          <w:szCs w:val="24"/>
        </w:rPr>
        <w:t xml:space="preserve"> </w:t>
      </w:r>
      <w:r w:rsidR="00747D81">
        <w:rPr>
          <w:rFonts w:ascii="Arial" w:hAnsi="Arial" w:cs="Arial"/>
          <w:sz w:val="24"/>
          <w:szCs w:val="24"/>
        </w:rPr>
        <w:t>As a result, the five year SLAA e</w:t>
      </w:r>
      <w:r w:rsidR="0008695D" w:rsidRPr="00B1350E">
        <w:rPr>
          <w:rFonts w:ascii="Arial" w:hAnsi="Arial" w:cs="Arial"/>
          <w:sz w:val="24"/>
          <w:szCs w:val="24"/>
        </w:rPr>
        <w:t>valuation</w:t>
      </w:r>
      <w:r w:rsidR="00747D81">
        <w:rPr>
          <w:rFonts w:ascii="Arial" w:hAnsi="Arial" w:cs="Arial"/>
          <w:sz w:val="24"/>
          <w:szCs w:val="24"/>
        </w:rPr>
        <w:t>s</w:t>
      </w:r>
      <w:r w:rsidR="0008695D" w:rsidRPr="00B1350E">
        <w:rPr>
          <w:rFonts w:ascii="Arial" w:hAnsi="Arial" w:cs="Arial"/>
          <w:sz w:val="24"/>
          <w:szCs w:val="24"/>
        </w:rPr>
        <w:t xml:space="preserve"> </w:t>
      </w:r>
      <w:r w:rsidR="00117BCF" w:rsidRPr="00B1350E">
        <w:rPr>
          <w:rFonts w:ascii="Arial" w:hAnsi="Arial" w:cs="Arial"/>
          <w:sz w:val="24"/>
          <w:szCs w:val="24"/>
        </w:rPr>
        <w:t xml:space="preserve">can only assess </w:t>
      </w:r>
      <w:r w:rsidR="0008695D" w:rsidRPr="00B1350E">
        <w:rPr>
          <w:rFonts w:ascii="Arial" w:hAnsi="Arial" w:cs="Arial"/>
          <w:sz w:val="24"/>
          <w:szCs w:val="24"/>
        </w:rPr>
        <w:t xml:space="preserve">three to </w:t>
      </w:r>
      <w:r w:rsidR="006759E4" w:rsidRPr="00B1350E">
        <w:rPr>
          <w:rFonts w:ascii="Arial" w:hAnsi="Arial" w:cs="Arial"/>
          <w:sz w:val="24"/>
          <w:szCs w:val="24"/>
        </w:rPr>
        <w:t>four years</w:t>
      </w:r>
      <w:r w:rsidR="0008695D" w:rsidRPr="00B1350E">
        <w:rPr>
          <w:rFonts w:ascii="Arial" w:hAnsi="Arial" w:cs="Arial"/>
          <w:sz w:val="24"/>
          <w:szCs w:val="24"/>
        </w:rPr>
        <w:t xml:space="preserve"> of the</w:t>
      </w:r>
      <w:r w:rsidR="00747D81">
        <w:rPr>
          <w:rFonts w:ascii="Arial" w:hAnsi="Arial" w:cs="Arial"/>
          <w:sz w:val="24"/>
          <w:szCs w:val="24"/>
        </w:rPr>
        <w:t>ir</w:t>
      </w:r>
      <w:r w:rsidR="0008695D" w:rsidRPr="00B1350E">
        <w:rPr>
          <w:rFonts w:ascii="Arial" w:hAnsi="Arial" w:cs="Arial"/>
          <w:sz w:val="24"/>
          <w:szCs w:val="24"/>
        </w:rPr>
        <w:t xml:space="preserve"> </w:t>
      </w:r>
      <w:r w:rsidR="00172A95" w:rsidRPr="00B1350E">
        <w:rPr>
          <w:rFonts w:ascii="Arial" w:hAnsi="Arial" w:cs="Arial"/>
          <w:sz w:val="24"/>
          <w:szCs w:val="24"/>
        </w:rPr>
        <w:t>five-</w:t>
      </w:r>
      <w:r w:rsidR="006759E4" w:rsidRPr="00B1350E">
        <w:rPr>
          <w:rFonts w:ascii="Arial" w:hAnsi="Arial" w:cs="Arial"/>
          <w:sz w:val="24"/>
          <w:szCs w:val="24"/>
        </w:rPr>
        <w:t>year plan</w:t>
      </w:r>
      <w:r w:rsidR="00747D81">
        <w:rPr>
          <w:rFonts w:ascii="Arial" w:hAnsi="Arial" w:cs="Arial"/>
          <w:sz w:val="24"/>
          <w:szCs w:val="24"/>
        </w:rPr>
        <w:t>s</w:t>
      </w:r>
      <w:r w:rsidR="00F13906" w:rsidRPr="00B1350E">
        <w:rPr>
          <w:rFonts w:ascii="Arial" w:hAnsi="Arial" w:cs="Arial"/>
          <w:sz w:val="24"/>
          <w:szCs w:val="24"/>
        </w:rPr>
        <w:t>.</w:t>
      </w:r>
      <w:r w:rsidR="00747D81">
        <w:rPr>
          <w:rFonts w:ascii="Arial" w:hAnsi="Arial" w:cs="Arial"/>
          <w:sz w:val="24"/>
          <w:szCs w:val="24"/>
        </w:rPr>
        <w:t xml:space="preserve"> T</w:t>
      </w:r>
      <w:r w:rsidR="00747D81" w:rsidRPr="00B1350E">
        <w:rPr>
          <w:rFonts w:ascii="Arial" w:hAnsi="Arial" w:cs="Arial"/>
          <w:sz w:val="24"/>
          <w:szCs w:val="24"/>
        </w:rPr>
        <w:t xml:space="preserve">he evaluations and plans </w:t>
      </w:r>
      <w:r w:rsidR="00747D81">
        <w:rPr>
          <w:rFonts w:ascii="Arial" w:hAnsi="Arial" w:cs="Arial"/>
          <w:sz w:val="24"/>
          <w:szCs w:val="24"/>
        </w:rPr>
        <w:t xml:space="preserve">nonetheless </w:t>
      </w:r>
      <w:r w:rsidR="00747D81" w:rsidRPr="00B1350E">
        <w:rPr>
          <w:rFonts w:ascii="Arial" w:hAnsi="Arial" w:cs="Arial"/>
          <w:sz w:val="24"/>
          <w:szCs w:val="24"/>
        </w:rPr>
        <w:t xml:space="preserve">are perceived as important contributors to transparency and to strengthening agency level performance </w:t>
      </w:r>
      <w:r w:rsidR="00747D81">
        <w:rPr>
          <w:rFonts w:ascii="Arial" w:hAnsi="Arial" w:cs="Arial"/>
          <w:sz w:val="24"/>
          <w:szCs w:val="24"/>
        </w:rPr>
        <w:t>at a federal level even if</w:t>
      </w:r>
      <w:r w:rsidR="00747D81" w:rsidRPr="00B1350E">
        <w:rPr>
          <w:rFonts w:ascii="Arial" w:hAnsi="Arial" w:cs="Arial"/>
          <w:sz w:val="24"/>
          <w:szCs w:val="24"/>
        </w:rPr>
        <w:t xml:space="preserve"> research strongly suggest</w:t>
      </w:r>
      <w:r w:rsidR="00747D81">
        <w:rPr>
          <w:rFonts w:ascii="Arial" w:hAnsi="Arial" w:cs="Arial"/>
          <w:sz w:val="24"/>
          <w:szCs w:val="24"/>
        </w:rPr>
        <w:t>s</w:t>
      </w:r>
      <w:r w:rsidR="00747D81" w:rsidRPr="00B1350E">
        <w:rPr>
          <w:rFonts w:ascii="Arial" w:hAnsi="Arial" w:cs="Arial"/>
          <w:sz w:val="24"/>
          <w:szCs w:val="24"/>
        </w:rPr>
        <w:t xml:space="preserve"> that elected and appointed senior governmental policy makers rarely read the required evaluation</w:t>
      </w:r>
      <w:r w:rsidR="00747D81">
        <w:rPr>
          <w:rFonts w:ascii="Arial" w:hAnsi="Arial" w:cs="Arial"/>
          <w:sz w:val="24"/>
          <w:szCs w:val="24"/>
        </w:rPr>
        <w:t xml:space="preserve"> reports</w:t>
      </w:r>
      <w:r w:rsidR="00747D81" w:rsidRPr="00B1350E">
        <w:rPr>
          <w:rFonts w:ascii="Arial" w:hAnsi="Arial" w:cs="Arial"/>
          <w:sz w:val="24"/>
          <w:szCs w:val="24"/>
        </w:rPr>
        <w:t xml:space="preserve"> (McDavid and Huse, 2012)</w:t>
      </w:r>
      <w:r w:rsidR="00747D81">
        <w:rPr>
          <w:rFonts w:ascii="Arial" w:hAnsi="Arial" w:cs="Arial"/>
          <w:sz w:val="24"/>
          <w:szCs w:val="24"/>
        </w:rPr>
        <w:t>.</w:t>
      </w:r>
    </w:p>
    <w:p w:rsidR="00B86939" w:rsidRPr="00B1350E" w:rsidRDefault="0008695D" w:rsidP="00C87909">
      <w:pPr>
        <w:pStyle w:val="Body1"/>
        <w:spacing w:before="120" w:after="120" w:line="360" w:lineRule="auto"/>
        <w:rPr>
          <w:rFonts w:ascii="Arial" w:hAnsi="Arial" w:cs="Arial"/>
          <w:sz w:val="24"/>
          <w:szCs w:val="24"/>
        </w:rPr>
      </w:pPr>
      <w:r w:rsidRPr="00B1350E">
        <w:rPr>
          <w:rFonts w:ascii="Arial" w:hAnsi="Arial" w:cs="Arial"/>
          <w:sz w:val="24"/>
          <w:szCs w:val="24"/>
        </w:rPr>
        <w:t xml:space="preserve">OBE </w:t>
      </w:r>
      <w:r w:rsidR="00172A95" w:rsidRPr="00B1350E">
        <w:rPr>
          <w:rFonts w:ascii="Arial" w:hAnsi="Arial" w:cs="Arial"/>
          <w:sz w:val="24"/>
          <w:szCs w:val="24"/>
        </w:rPr>
        <w:t xml:space="preserve">based on </w:t>
      </w:r>
      <w:r w:rsidRPr="00B1350E">
        <w:rPr>
          <w:rFonts w:ascii="Arial" w:hAnsi="Arial" w:cs="Arial"/>
          <w:sz w:val="24"/>
          <w:szCs w:val="24"/>
        </w:rPr>
        <w:t xml:space="preserve">logic models was first introduced to the Grants to States Program in </w:t>
      </w:r>
      <w:r w:rsidR="00172A95" w:rsidRPr="00B1350E">
        <w:rPr>
          <w:rFonts w:ascii="Arial" w:hAnsi="Arial" w:cs="Arial"/>
          <w:sz w:val="24"/>
          <w:szCs w:val="24"/>
        </w:rPr>
        <w:t xml:space="preserve">1997 and </w:t>
      </w:r>
      <w:r w:rsidR="009E37EE">
        <w:rPr>
          <w:rFonts w:ascii="Arial" w:hAnsi="Arial" w:cs="Arial"/>
          <w:sz w:val="24"/>
          <w:szCs w:val="24"/>
        </w:rPr>
        <w:t>applied</w:t>
      </w:r>
      <w:r w:rsidR="00172A95" w:rsidRPr="00B1350E">
        <w:rPr>
          <w:rFonts w:ascii="Arial" w:hAnsi="Arial" w:cs="Arial"/>
          <w:sz w:val="24"/>
          <w:szCs w:val="24"/>
        </w:rPr>
        <w:t xml:space="preserve"> through 20</w:t>
      </w:r>
      <w:r w:rsidR="009E37EE">
        <w:rPr>
          <w:rFonts w:ascii="Arial" w:hAnsi="Arial" w:cs="Arial"/>
          <w:sz w:val="24"/>
          <w:szCs w:val="24"/>
        </w:rPr>
        <w:t>11</w:t>
      </w:r>
      <w:r w:rsidR="00F13906" w:rsidRPr="00B1350E">
        <w:rPr>
          <w:rFonts w:ascii="Arial" w:hAnsi="Arial" w:cs="Arial"/>
          <w:sz w:val="24"/>
          <w:szCs w:val="24"/>
        </w:rPr>
        <w:t xml:space="preserve">  It is the focus of the next section.</w:t>
      </w:r>
      <w:r w:rsidRPr="00B1350E">
        <w:rPr>
          <w:rFonts w:ascii="Arial" w:hAnsi="Arial" w:cs="Arial"/>
          <w:sz w:val="24"/>
          <w:szCs w:val="24"/>
        </w:rPr>
        <w:t xml:space="preserve"> </w:t>
      </w:r>
    </w:p>
    <w:p w:rsidR="00117BCF" w:rsidRPr="00B1350E" w:rsidRDefault="00117BCF" w:rsidP="00C87909">
      <w:pPr>
        <w:pStyle w:val="Body1"/>
        <w:spacing w:before="120" w:after="120" w:line="360" w:lineRule="auto"/>
        <w:rPr>
          <w:rFonts w:ascii="Arial" w:hAnsi="Arial" w:cs="Arial"/>
          <w:sz w:val="24"/>
          <w:szCs w:val="24"/>
          <w:u w:val="single"/>
        </w:rPr>
      </w:pPr>
    </w:p>
    <w:p w:rsidR="00AF55F4" w:rsidRPr="00B1350E" w:rsidRDefault="00C96DA2" w:rsidP="00C87909">
      <w:pPr>
        <w:pStyle w:val="Body1"/>
        <w:spacing w:before="120" w:after="120" w:line="360" w:lineRule="auto"/>
        <w:rPr>
          <w:rFonts w:ascii="Arial" w:hAnsi="Arial" w:cs="Arial"/>
          <w:b/>
          <w:sz w:val="24"/>
          <w:szCs w:val="24"/>
        </w:rPr>
      </w:pPr>
      <w:r w:rsidRPr="00AD69F4">
        <w:rPr>
          <w:rFonts w:ascii="Arial" w:hAnsi="Arial" w:cs="Arial"/>
          <w:b/>
          <w:sz w:val="28"/>
          <w:szCs w:val="28"/>
        </w:rPr>
        <w:lastRenderedPageBreak/>
        <w:t xml:space="preserve">Introduction of Logic Models to Grants to States:  </w:t>
      </w:r>
      <w:r w:rsidR="00370450" w:rsidRPr="00AD69F4">
        <w:rPr>
          <w:rFonts w:ascii="Arial" w:hAnsi="Arial" w:cs="Arial"/>
          <w:b/>
          <w:sz w:val="28"/>
          <w:szCs w:val="28"/>
        </w:rPr>
        <w:t>1997</w:t>
      </w:r>
      <w:r w:rsidRPr="00AD69F4">
        <w:rPr>
          <w:rFonts w:ascii="Arial" w:hAnsi="Arial" w:cs="Arial"/>
          <w:b/>
          <w:sz w:val="28"/>
          <w:szCs w:val="28"/>
        </w:rPr>
        <w:t>-2011</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Grants to States</w:t>
      </w:r>
      <w:r w:rsidR="00AF55F4" w:rsidRPr="00B1350E">
        <w:rPr>
          <w:rFonts w:ascii="Arial" w:hAnsi="Arial" w:cs="Arial"/>
          <w:sz w:val="24"/>
          <w:szCs w:val="24"/>
        </w:rPr>
        <w:t>,</w:t>
      </w:r>
      <w:r w:rsidRPr="00B1350E">
        <w:rPr>
          <w:rFonts w:ascii="Arial" w:hAnsi="Arial" w:cs="Arial"/>
          <w:sz w:val="24"/>
          <w:szCs w:val="24"/>
        </w:rPr>
        <w:t xml:space="preserve"> like </w:t>
      </w:r>
      <w:r w:rsidR="00AF55F4" w:rsidRPr="00B1350E">
        <w:rPr>
          <w:rFonts w:ascii="Arial" w:hAnsi="Arial" w:cs="Arial"/>
          <w:sz w:val="24"/>
          <w:szCs w:val="24"/>
        </w:rPr>
        <w:t>nearly</w:t>
      </w:r>
      <w:r w:rsidRPr="00B1350E">
        <w:rPr>
          <w:rFonts w:ascii="Arial" w:hAnsi="Arial" w:cs="Arial"/>
          <w:sz w:val="24"/>
          <w:szCs w:val="24"/>
        </w:rPr>
        <w:t xml:space="preserve"> every other public program</w:t>
      </w:r>
      <w:r w:rsidR="00AF55F4" w:rsidRPr="00B1350E">
        <w:rPr>
          <w:rFonts w:ascii="Arial" w:hAnsi="Arial" w:cs="Arial"/>
          <w:sz w:val="24"/>
          <w:szCs w:val="24"/>
        </w:rPr>
        <w:t>,</w:t>
      </w:r>
      <w:r w:rsidRPr="00B1350E">
        <w:rPr>
          <w:rFonts w:ascii="Arial" w:hAnsi="Arial" w:cs="Arial"/>
          <w:sz w:val="24"/>
          <w:szCs w:val="24"/>
        </w:rPr>
        <w:t xml:space="preserve"> historically </w:t>
      </w:r>
      <w:r w:rsidR="00994AFC">
        <w:rPr>
          <w:rFonts w:ascii="Arial" w:hAnsi="Arial" w:cs="Arial"/>
          <w:sz w:val="24"/>
          <w:szCs w:val="24"/>
        </w:rPr>
        <w:t xml:space="preserve">has </w:t>
      </w:r>
      <w:r w:rsidRPr="00B1350E">
        <w:rPr>
          <w:rFonts w:ascii="Arial" w:hAnsi="Arial" w:cs="Arial"/>
          <w:sz w:val="24"/>
          <w:szCs w:val="24"/>
        </w:rPr>
        <w:t xml:space="preserve">focused its administrative oversight on monitoring inputs to ensure that funds </w:t>
      </w:r>
      <w:r w:rsidR="00994AFC">
        <w:rPr>
          <w:rFonts w:ascii="Arial" w:hAnsi="Arial" w:cs="Arial"/>
          <w:sz w:val="24"/>
          <w:szCs w:val="24"/>
        </w:rPr>
        <w:t>have been</w:t>
      </w:r>
      <w:r w:rsidRPr="00B1350E">
        <w:rPr>
          <w:rFonts w:ascii="Arial" w:hAnsi="Arial" w:cs="Arial"/>
          <w:sz w:val="24"/>
          <w:szCs w:val="24"/>
        </w:rPr>
        <w:t xml:space="preserve"> spent </w:t>
      </w:r>
      <w:r w:rsidR="00AF55F4" w:rsidRPr="00B1350E">
        <w:rPr>
          <w:rFonts w:ascii="Arial" w:hAnsi="Arial" w:cs="Arial"/>
          <w:sz w:val="24"/>
          <w:szCs w:val="24"/>
        </w:rPr>
        <w:t>properly</w:t>
      </w:r>
      <w:r w:rsidRPr="00B1350E">
        <w:rPr>
          <w:rFonts w:ascii="Arial" w:hAnsi="Arial" w:cs="Arial"/>
          <w:sz w:val="24"/>
          <w:szCs w:val="24"/>
        </w:rPr>
        <w:t>.</w:t>
      </w:r>
      <w:r w:rsidR="00AF55F4" w:rsidRPr="00B1350E">
        <w:rPr>
          <w:rFonts w:ascii="Arial" w:hAnsi="Arial" w:cs="Arial"/>
          <w:sz w:val="24"/>
          <w:szCs w:val="24"/>
        </w:rPr>
        <w:t xml:space="preserve"> </w:t>
      </w:r>
      <w:r w:rsidRPr="00B1350E">
        <w:rPr>
          <w:rFonts w:ascii="Arial" w:hAnsi="Arial" w:cs="Arial"/>
          <w:sz w:val="24"/>
          <w:szCs w:val="24"/>
        </w:rPr>
        <w:t xml:space="preserve"> While the 1990 and 1996 federal legislation highlighted increased federal concern for monitoring outcomes, fiscal accountability </w:t>
      </w:r>
      <w:r w:rsidR="00994AFC">
        <w:rPr>
          <w:rFonts w:ascii="Arial" w:hAnsi="Arial" w:cs="Arial"/>
          <w:sz w:val="24"/>
          <w:szCs w:val="24"/>
        </w:rPr>
        <w:t xml:space="preserve">has </w:t>
      </w:r>
      <w:r w:rsidRPr="00B1350E">
        <w:rPr>
          <w:rFonts w:ascii="Arial" w:hAnsi="Arial" w:cs="Arial"/>
          <w:sz w:val="24"/>
          <w:szCs w:val="24"/>
        </w:rPr>
        <w:t xml:space="preserve">remained part of the dominant program culture.  </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As IMLS began to offer guidance and leadership in OBE</w:t>
      </w:r>
      <w:r w:rsidR="00AF55F4" w:rsidRPr="00B1350E">
        <w:rPr>
          <w:rFonts w:ascii="Arial" w:hAnsi="Arial" w:cs="Arial"/>
          <w:sz w:val="24"/>
          <w:szCs w:val="24"/>
        </w:rPr>
        <w:t xml:space="preserve"> to Grants to States</w:t>
      </w:r>
      <w:r w:rsidRPr="00B1350E">
        <w:rPr>
          <w:rFonts w:ascii="Arial" w:hAnsi="Arial" w:cs="Arial"/>
          <w:sz w:val="24"/>
          <w:szCs w:val="24"/>
        </w:rPr>
        <w:t xml:space="preserve"> in response to the federal evaluation directives, it had to balance several concerns. </w:t>
      </w:r>
      <w:r w:rsidR="008A148D" w:rsidRPr="00B1350E">
        <w:rPr>
          <w:rFonts w:ascii="Arial" w:hAnsi="Arial" w:cs="Arial"/>
          <w:sz w:val="24"/>
          <w:szCs w:val="24"/>
        </w:rPr>
        <w:t xml:space="preserve"> </w:t>
      </w:r>
      <w:r w:rsidRPr="00B1350E">
        <w:rPr>
          <w:rFonts w:ascii="Arial" w:hAnsi="Arial" w:cs="Arial"/>
          <w:sz w:val="24"/>
          <w:szCs w:val="24"/>
        </w:rPr>
        <w:t xml:space="preserve">First, it had to balance the monitoring of inputs </w:t>
      </w:r>
      <w:r w:rsidR="00AF55F4" w:rsidRPr="00B1350E">
        <w:rPr>
          <w:rFonts w:ascii="Arial" w:hAnsi="Arial" w:cs="Arial"/>
          <w:sz w:val="24"/>
          <w:szCs w:val="24"/>
        </w:rPr>
        <w:t xml:space="preserve">and their </w:t>
      </w:r>
      <w:r w:rsidRPr="00B1350E">
        <w:rPr>
          <w:rFonts w:ascii="Arial" w:hAnsi="Arial" w:cs="Arial"/>
          <w:sz w:val="24"/>
          <w:szCs w:val="24"/>
        </w:rPr>
        <w:t xml:space="preserve">outcomes.  Second, as a </w:t>
      </w:r>
      <w:r w:rsidR="00653F36">
        <w:rPr>
          <w:rFonts w:ascii="Arial" w:hAnsi="Arial" w:cs="Arial"/>
          <w:sz w:val="24"/>
          <w:szCs w:val="24"/>
        </w:rPr>
        <w:t xml:space="preserve">state </w:t>
      </w:r>
      <w:r w:rsidRPr="00B1350E">
        <w:rPr>
          <w:rFonts w:ascii="Arial" w:hAnsi="Arial" w:cs="Arial"/>
          <w:sz w:val="24"/>
          <w:szCs w:val="24"/>
        </w:rPr>
        <w:t xml:space="preserve">formula grant program, it had to balance federal government </w:t>
      </w:r>
      <w:r w:rsidR="00AF55F4" w:rsidRPr="00B1350E">
        <w:rPr>
          <w:rFonts w:ascii="Arial" w:hAnsi="Arial" w:cs="Arial"/>
          <w:sz w:val="24"/>
          <w:szCs w:val="24"/>
        </w:rPr>
        <w:t xml:space="preserve">interests </w:t>
      </w:r>
      <w:r w:rsidRPr="00B1350E">
        <w:rPr>
          <w:rFonts w:ascii="Arial" w:hAnsi="Arial" w:cs="Arial"/>
          <w:sz w:val="24"/>
          <w:szCs w:val="24"/>
        </w:rPr>
        <w:t xml:space="preserve">versus </w:t>
      </w:r>
      <w:r w:rsidR="00AF55F4" w:rsidRPr="00B1350E">
        <w:rPr>
          <w:rFonts w:ascii="Arial" w:hAnsi="Arial" w:cs="Arial"/>
          <w:sz w:val="24"/>
          <w:szCs w:val="24"/>
        </w:rPr>
        <w:t xml:space="preserve">those of </w:t>
      </w:r>
      <w:r w:rsidRPr="00B1350E">
        <w:rPr>
          <w:rFonts w:ascii="Arial" w:hAnsi="Arial" w:cs="Arial"/>
          <w:sz w:val="24"/>
          <w:szCs w:val="24"/>
        </w:rPr>
        <w:t xml:space="preserve">state governments.  </w:t>
      </w:r>
      <w:r w:rsidR="00994AFC">
        <w:rPr>
          <w:rFonts w:ascii="Arial" w:hAnsi="Arial" w:cs="Arial"/>
          <w:sz w:val="24"/>
          <w:szCs w:val="24"/>
        </w:rPr>
        <w:t>Third, s</w:t>
      </w:r>
      <w:r w:rsidRPr="00B1350E">
        <w:rPr>
          <w:rFonts w:ascii="Arial" w:hAnsi="Arial" w:cs="Arial"/>
          <w:sz w:val="24"/>
          <w:szCs w:val="24"/>
        </w:rPr>
        <w:t xml:space="preserve">ince </w:t>
      </w:r>
      <w:r w:rsidR="00AF55F4" w:rsidRPr="00B1350E">
        <w:rPr>
          <w:rFonts w:ascii="Arial" w:hAnsi="Arial" w:cs="Arial"/>
          <w:sz w:val="24"/>
          <w:szCs w:val="24"/>
        </w:rPr>
        <w:t>many</w:t>
      </w:r>
      <w:r w:rsidRPr="00B1350E">
        <w:rPr>
          <w:rFonts w:ascii="Arial" w:hAnsi="Arial" w:cs="Arial"/>
          <w:sz w:val="24"/>
          <w:szCs w:val="24"/>
        </w:rPr>
        <w:t xml:space="preserve"> SLAA investments were </w:t>
      </w:r>
      <w:r w:rsidR="00AF55F4" w:rsidRPr="00B1350E">
        <w:rPr>
          <w:rFonts w:ascii="Arial" w:hAnsi="Arial" w:cs="Arial"/>
          <w:sz w:val="24"/>
          <w:szCs w:val="24"/>
        </w:rPr>
        <w:t xml:space="preserve">made </w:t>
      </w:r>
      <w:r w:rsidRPr="00B1350E">
        <w:rPr>
          <w:rFonts w:ascii="Arial" w:hAnsi="Arial" w:cs="Arial"/>
          <w:sz w:val="24"/>
          <w:szCs w:val="24"/>
        </w:rPr>
        <w:t>through project awards</w:t>
      </w:r>
      <w:r w:rsidR="00AF55F4" w:rsidRPr="00B1350E">
        <w:rPr>
          <w:rFonts w:ascii="Arial" w:hAnsi="Arial" w:cs="Arial"/>
          <w:sz w:val="24"/>
          <w:szCs w:val="24"/>
        </w:rPr>
        <w:t xml:space="preserve"> to local public libraries</w:t>
      </w:r>
      <w:r w:rsidRPr="00B1350E">
        <w:rPr>
          <w:rFonts w:ascii="Arial" w:hAnsi="Arial" w:cs="Arial"/>
          <w:sz w:val="24"/>
          <w:szCs w:val="24"/>
        </w:rPr>
        <w:t xml:space="preserve">, any new type of evaluation </w:t>
      </w:r>
      <w:r w:rsidR="00C058FD">
        <w:rPr>
          <w:rFonts w:ascii="Arial" w:hAnsi="Arial" w:cs="Arial"/>
          <w:sz w:val="24"/>
          <w:szCs w:val="24"/>
        </w:rPr>
        <w:t xml:space="preserve">approach </w:t>
      </w:r>
      <w:r w:rsidRPr="00B1350E">
        <w:rPr>
          <w:rFonts w:ascii="Arial" w:hAnsi="Arial" w:cs="Arial"/>
          <w:sz w:val="24"/>
          <w:szCs w:val="24"/>
        </w:rPr>
        <w:t xml:space="preserve">introduced to Grants to States </w:t>
      </w:r>
      <w:r w:rsidR="00AF55F4" w:rsidRPr="00B1350E">
        <w:rPr>
          <w:rFonts w:ascii="Arial" w:hAnsi="Arial" w:cs="Arial"/>
          <w:sz w:val="24"/>
          <w:szCs w:val="24"/>
        </w:rPr>
        <w:t>had</w:t>
      </w:r>
      <w:r w:rsidRPr="00B1350E">
        <w:rPr>
          <w:rFonts w:ascii="Arial" w:hAnsi="Arial" w:cs="Arial"/>
          <w:sz w:val="24"/>
          <w:szCs w:val="24"/>
        </w:rPr>
        <w:t xml:space="preserve"> to </w:t>
      </w:r>
      <w:r w:rsidR="00C058FD">
        <w:rPr>
          <w:rFonts w:ascii="Arial" w:hAnsi="Arial" w:cs="Arial"/>
          <w:sz w:val="24"/>
          <w:szCs w:val="24"/>
        </w:rPr>
        <w:t>be integrated with</w:t>
      </w:r>
      <w:r w:rsidRPr="00B1350E">
        <w:rPr>
          <w:rFonts w:ascii="Arial" w:hAnsi="Arial" w:cs="Arial"/>
          <w:sz w:val="24"/>
          <w:szCs w:val="24"/>
        </w:rPr>
        <w:t xml:space="preserve"> </w:t>
      </w:r>
      <w:r w:rsidR="00653F36">
        <w:rPr>
          <w:rFonts w:ascii="Arial" w:hAnsi="Arial" w:cs="Arial"/>
          <w:sz w:val="24"/>
          <w:szCs w:val="24"/>
        </w:rPr>
        <w:t xml:space="preserve">project </w:t>
      </w:r>
      <w:r w:rsidRPr="00B1350E">
        <w:rPr>
          <w:rFonts w:ascii="Arial" w:hAnsi="Arial" w:cs="Arial"/>
          <w:sz w:val="24"/>
          <w:szCs w:val="24"/>
        </w:rPr>
        <w:t>grant administration.</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Against this backdrop, IMLS began to introduce OBE</w:t>
      </w:r>
      <w:r w:rsidR="00AF55F4" w:rsidRPr="00B1350E">
        <w:rPr>
          <w:rFonts w:ascii="Arial" w:hAnsi="Arial" w:cs="Arial"/>
          <w:sz w:val="24"/>
          <w:szCs w:val="24"/>
        </w:rPr>
        <w:t xml:space="preserve"> </w:t>
      </w:r>
      <w:r w:rsidR="009E37EE">
        <w:rPr>
          <w:rFonts w:ascii="Arial" w:hAnsi="Arial" w:cs="Arial"/>
          <w:sz w:val="24"/>
          <w:szCs w:val="24"/>
        </w:rPr>
        <w:t>with</w:t>
      </w:r>
      <w:r w:rsidR="00AF55F4" w:rsidRPr="00B1350E">
        <w:rPr>
          <w:rFonts w:ascii="Arial" w:hAnsi="Arial" w:cs="Arial"/>
          <w:sz w:val="24"/>
          <w:szCs w:val="24"/>
        </w:rPr>
        <w:t xml:space="preserve"> logic models</w:t>
      </w:r>
      <w:r w:rsidRPr="00B1350E">
        <w:rPr>
          <w:rFonts w:ascii="Arial" w:hAnsi="Arial" w:cs="Arial"/>
          <w:sz w:val="24"/>
          <w:szCs w:val="24"/>
        </w:rPr>
        <w:t xml:space="preserve"> to the Grants to States </w:t>
      </w:r>
      <w:r w:rsidR="00AF55F4" w:rsidRPr="00B1350E">
        <w:rPr>
          <w:rFonts w:ascii="Arial" w:hAnsi="Arial" w:cs="Arial"/>
          <w:sz w:val="24"/>
          <w:szCs w:val="24"/>
        </w:rPr>
        <w:t xml:space="preserve">program </w:t>
      </w:r>
      <w:r w:rsidRPr="00B1350E">
        <w:rPr>
          <w:rFonts w:ascii="Arial" w:hAnsi="Arial" w:cs="Arial"/>
          <w:sz w:val="24"/>
          <w:szCs w:val="24"/>
        </w:rPr>
        <w:t>in 1997</w:t>
      </w:r>
      <w:r w:rsidR="00EF624E" w:rsidRPr="00B1350E">
        <w:rPr>
          <w:rFonts w:ascii="Arial" w:hAnsi="Arial" w:cs="Arial"/>
          <w:sz w:val="24"/>
          <w:szCs w:val="24"/>
        </w:rPr>
        <w:t xml:space="preserve">.  It </w:t>
      </w:r>
      <w:r w:rsidRPr="00B1350E">
        <w:rPr>
          <w:rFonts w:ascii="Arial" w:hAnsi="Arial" w:cs="Arial"/>
          <w:sz w:val="24"/>
          <w:szCs w:val="24"/>
        </w:rPr>
        <w:t>hired a</w:t>
      </w:r>
      <w:r w:rsidR="00EF624E" w:rsidRPr="00B1350E">
        <w:rPr>
          <w:rFonts w:ascii="Arial" w:hAnsi="Arial" w:cs="Arial"/>
          <w:sz w:val="24"/>
          <w:szCs w:val="24"/>
        </w:rPr>
        <w:t>n</w:t>
      </w:r>
      <w:r w:rsidRPr="00B1350E">
        <w:rPr>
          <w:rFonts w:ascii="Arial" w:hAnsi="Arial" w:cs="Arial"/>
          <w:sz w:val="24"/>
          <w:szCs w:val="24"/>
        </w:rPr>
        <w:t xml:space="preserve"> evaluation officer and contracted with a third</w:t>
      </w:r>
      <w:r w:rsidR="008A148D" w:rsidRPr="00B1350E">
        <w:rPr>
          <w:rFonts w:ascii="Arial" w:hAnsi="Arial" w:cs="Arial"/>
          <w:sz w:val="24"/>
          <w:szCs w:val="24"/>
        </w:rPr>
        <w:t>-</w:t>
      </w:r>
      <w:r w:rsidRPr="00B1350E">
        <w:rPr>
          <w:rFonts w:ascii="Arial" w:hAnsi="Arial" w:cs="Arial"/>
          <w:sz w:val="24"/>
          <w:szCs w:val="24"/>
        </w:rPr>
        <w:t>party expert in program evaluation.  Training workshops were introduced to participating SLAA partners in using logic models for planning and assessment</w:t>
      </w:r>
      <w:r w:rsidR="00EF624E" w:rsidRPr="00B1350E">
        <w:rPr>
          <w:rFonts w:ascii="Arial" w:hAnsi="Arial" w:cs="Arial"/>
          <w:sz w:val="24"/>
          <w:szCs w:val="24"/>
        </w:rPr>
        <w:t xml:space="preserve"> of outcomes</w:t>
      </w:r>
      <w:r w:rsidRPr="00B1350E">
        <w:rPr>
          <w:rFonts w:ascii="Arial" w:hAnsi="Arial" w:cs="Arial"/>
          <w:sz w:val="24"/>
          <w:szCs w:val="24"/>
        </w:rPr>
        <w:t xml:space="preserve">.  </w:t>
      </w:r>
      <w:r w:rsidR="00C058FD">
        <w:rPr>
          <w:rFonts w:ascii="Arial" w:hAnsi="Arial" w:cs="Arial"/>
          <w:sz w:val="24"/>
          <w:szCs w:val="24"/>
        </w:rPr>
        <w:t xml:space="preserve">Every state had to </w:t>
      </w:r>
      <w:r w:rsidR="00CD2617">
        <w:rPr>
          <w:rFonts w:ascii="Arial" w:hAnsi="Arial" w:cs="Arial"/>
          <w:sz w:val="24"/>
          <w:szCs w:val="24"/>
        </w:rPr>
        <w:t>select</w:t>
      </w:r>
      <w:r w:rsidR="00C058FD">
        <w:rPr>
          <w:rFonts w:ascii="Arial" w:hAnsi="Arial" w:cs="Arial"/>
          <w:sz w:val="24"/>
          <w:szCs w:val="24"/>
        </w:rPr>
        <w:t xml:space="preserve"> at least one project for OBE</w:t>
      </w:r>
      <w:r w:rsidR="00CD2617">
        <w:rPr>
          <w:rFonts w:ascii="Arial" w:hAnsi="Arial" w:cs="Arial"/>
          <w:sz w:val="24"/>
          <w:szCs w:val="24"/>
        </w:rPr>
        <w:t xml:space="preserve"> assessment</w:t>
      </w:r>
      <w:r w:rsidR="00C058FD">
        <w:rPr>
          <w:rFonts w:ascii="Arial" w:hAnsi="Arial" w:cs="Arial"/>
          <w:sz w:val="24"/>
          <w:szCs w:val="24"/>
        </w:rPr>
        <w:t>.  IMLS staff, in turn, availed themselves to support SLAA capacity to undertake new and increased programmatic evaluative responsibilities.</w:t>
      </w:r>
    </w:p>
    <w:p w:rsidR="00C87909" w:rsidRPr="00B1350E" w:rsidRDefault="008A148D" w:rsidP="00C87909">
      <w:pPr>
        <w:pStyle w:val="Body1"/>
        <w:spacing w:before="120" w:after="120" w:line="360" w:lineRule="auto"/>
        <w:rPr>
          <w:rFonts w:ascii="Arial" w:hAnsi="Arial" w:cs="Arial"/>
          <w:sz w:val="24"/>
          <w:szCs w:val="24"/>
        </w:rPr>
      </w:pPr>
      <w:r w:rsidRPr="00B1350E">
        <w:rPr>
          <w:rFonts w:ascii="Arial" w:hAnsi="Arial" w:cs="Arial"/>
          <w:sz w:val="24"/>
          <w:szCs w:val="24"/>
        </w:rPr>
        <w:t>While f</w:t>
      </w:r>
      <w:r w:rsidR="00C87909" w:rsidRPr="00B1350E">
        <w:rPr>
          <w:rFonts w:ascii="Arial" w:hAnsi="Arial" w:cs="Arial"/>
          <w:sz w:val="24"/>
          <w:szCs w:val="24"/>
        </w:rPr>
        <w:t>ederal legislation require</w:t>
      </w:r>
      <w:r w:rsidR="009E37EE">
        <w:rPr>
          <w:rFonts w:ascii="Arial" w:hAnsi="Arial" w:cs="Arial"/>
          <w:sz w:val="24"/>
          <w:szCs w:val="24"/>
        </w:rPr>
        <w:t>d</w:t>
      </w:r>
      <w:r w:rsidR="00C87909" w:rsidRPr="00B1350E">
        <w:rPr>
          <w:rFonts w:ascii="Arial" w:hAnsi="Arial" w:cs="Arial"/>
          <w:sz w:val="24"/>
          <w:szCs w:val="24"/>
        </w:rPr>
        <w:t xml:space="preserve"> each SLAA to conduct a five-year</w:t>
      </w:r>
      <w:r w:rsidR="00B1350E">
        <w:rPr>
          <w:rFonts w:ascii="Arial" w:hAnsi="Arial" w:cs="Arial"/>
          <w:sz w:val="24"/>
          <w:szCs w:val="24"/>
        </w:rPr>
        <w:t xml:space="preserve"> evaluation</w:t>
      </w:r>
      <w:r w:rsidR="00C87909" w:rsidRPr="00B1350E">
        <w:rPr>
          <w:rFonts w:ascii="Arial" w:hAnsi="Arial" w:cs="Arial"/>
          <w:sz w:val="24"/>
          <w:szCs w:val="24"/>
        </w:rPr>
        <w:t xml:space="preserve">, </w:t>
      </w:r>
      <w:r w:rsidR="00B1350E">
        <w:rPr>
          <w:rFonts w:ascii="Arial" w:hAnsi="Arial" w:cs="Arial"/>
          <w:sz w:val="24"/>
          <w:szCs w:val="24"/>
        </w:rPr>
        <w:t xml:space="preserve">IMLS </w:t>
      </w:r>
      <w:r w:rsidR="009E37EE">
        <w:rPr>
          <w:rFonts w:ascii="Arial" w:hAnsi="Arial" w:cs="Arial"/>
          <w:sz w:val="24"/>
          <w:szCs w:val="24"/>
        </w:rPr>
        <w:t>gave</w:t>
      </w:r>
      <w:r w:rsidR="00B1350E">
        <w:rPr>
          <w:rFonts w:ascii="Arial" w:hAnsi="Arial" w:cs="Arial"/>
          <w:sz w:val="24"/>
          <w:szCs w:val="24"/>
        </w:rPr>
        <w:t xml:space="preserve"> each </w:t>
      </w:r>
      <w:r w:rsidR="00C87909" w:rsidRPr="00B1350E">
        <w:rPr>
          <w:rFonts w:ascii="Arial" w:hAnsi="Arial" w:cs="Arial"/>
          <w:sz w:val="24"/>
          <w:szCs w:val="24"/>
        </w:rPr>
        <w:t xml:space="preserve">the option to decide whether to include OBE and in what form. The </w:t>
      </w:r>
      <w:r w:rsidR="00EF624E" w:rsidRPr="00B1350E">
        <w:rPr>
          <w:rFonts w:ascii="Arial" w:hAnsi="Arial" w:cs="Arial"/>
          <w:sz w:val="24"/>
          <w:szCs w:val="24"/>
        </w:rPr>
        <w:t xml:space="preserve">SLAAs increasingly </w:t>
      </w:r>
      <w:r w:rsidR="00C87909" w:rsidRPr="00B1350E">
        <w:rPr>
          <w:rFonts w:ascii="Arial" w:hAnsi="Arial" w:cs="Arial"/>
          <w:sz w:val="24"/>
          <w:szCs w:val="24"/>
        </w:rPr>
        <w:t xml:space="preserve">placed </w:t>
      </w:r>
      <w:r w:rsidR="00EF624E" w:rsidRPr="00B1350E">
        <w:rPr>
          <w:rFonts w:ascii="Arial" w:hAnsi="Arial" w:cs="Arial"/>
          <w:sz w:val="24"/>
          <w:szCs w:val="24"/>
        </w:rPr>
        <w:t xml:space="preserve">emphasis </w:t>
      </w:r>
      <w:r w:rsidR="00C87909" w:rsidRPr="00B1350E">
        <w:rPr>
          <w:rFonts w:ascii="Arial" w:hAnsi="Arial" w:cs="Arial"/>
          <w:sz w:val="24"/>
          <w:szCs w:val="24"/>
        </w:rPr>
        <w:t xml:space="preserve">on </w:t>
      </w:r>
      <w:r w:rsidR="00EF624E" w:rsidRPr="00B1350E">
        <w:rPr>
          <w:rFonts w:ascii="Arial" w:hAnsi="Arial" w:cs="Arial"/>
          <w:sz w:val="24"/>
          <w:szCs w:val="24"/>
        </w:rPr>
        <w:t xml:space="preserve">their own </w:t>
      </w:r>
      <w:r w:rsidR="00C87909" w:rsidRPr="00B1350E">
        <w:rPr>
          <w:rFonts w:ascii="Arial" w:hAnsi="Arial" w:cs="Arial"/>
          <w:sz w:val="24"/>
          <w:szCs w:val="24"/>
        </w:rPr>
        <w:t xml:space="preserve">project grants to public libraries.  Some adopted a requirement </w:t>
      </w:r>
      <w:r w:rsidRPr="00B1350E">
        <w:rPr>
          <w:rFonts w:ascii="Arial" w:hAnsi="Arial" w:cs="Arial"/>
          <w:sz w:val="24"/>
          <w:szCs w:val="24"/>
        </w:rPr>
        <w:t>for</w:t>
      </w:r>
      <w:r w:rsidR="00EF624E" w:rsidRPr="00B1350E">
        <w:rPr>
          <w:rFonts w:ascii="Arial" w:hAnsi="Arial" w:cs="Arial"/>
          <w:sz w:val="24"/>
          <w:szCs w:val="24"/>
        </w:rPr>
        <w:t xml:space="preserve"> </w:t>
      </w:r>
      <w:r w:rsidR="00C87909" w:rsidRPr="00B1350E">
        <w:rPr>
          <w:rFonts w:ascii="Arial" w:hAnsi="Arial" w:cs="Arial"/>
          <w:sz w:val="24"/>
          <w:szCs w:val="24"/>
        </w:rPr>
        <w:t xml:space="preserve">a simplified logic model </w:t>
      </w:r>
      <w:r w:rsidR="00EF624E" w:rsidRPr="00B1350E">
        <w:rPr>
          <w:rFonts w:ascii="Arial" w:hAnsi="Arial" w:cs="Arial"/>
          <w:sz w:val="24"/>
          <w:szCs w:val="24"/>
        </w:rPr>
        <w:t>and OBE</w:t>
      </w:r>
      <w:r w:rsidR="00C87909" w:rsidRPr="00B1350E">
        <w:rPr>
          <w:rFonts w:ascii="Arial" w:hAnsi="Arial" w:cs="Arial"/>
          <w:sz w:val="24"/>
          <w:szCs w:val="24"/>
        </w:rPr>
        <w:t xml:space="preserve"> in project grants to libraries, and some built tools </w:t>
      </w:r>
      <w:r w:rsidR="00EF624E" w:rsidRPr="00B1350E">
        <w:rPr>
          <w:rFonts w:ascii="Arial" w:hAnsi="Arial" w:cs="Arial"/>
          <w:sz w:val="24"/>
          <w:szCs w:val="24"/>
        </w:rPr>
        <w:t xml:space="preserve">and training </w:t>
      </w:r>
      <w:r w:rsidR="00C87909" w:rsidRPr="00B1350E">
        <w:rPr>
          <w:rFonts w:ascii="Arial" w:hAnsi="Arial" w:cs="Arial"/>
          <w:sz w:val="24"/>
          <w:szCs w:val="24"/>
        </w:rPr>
        <w:t xml:space="preserve">for that purpose.  </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 xml:space="preserve">This move to OBE </w:t>
      </w:r>
      <w:r w:rsidR="00EF624E" w:rsidRPr="00B1350E">
        <w:rPr>
          <w:rFonts w:ascii="Arial" w:hAnsi="Arial" w:cs="Arial"/>
          <w:sz w:val="24"/>
          <w:szCs w:val="24"/>
        </w:rPr>
        <w:t xml:space="preserve">required changes in the IMLS </w:t>
      </w:r>
      <w:r w:rsidRPr="00B1350E">
        <w:rPr>
          <w:rFonts w:ascii="Arial" w:hAnsi="Arial" w:cs="Arial"/>
          <w:sz w:val="24"/>
          <w:szCs w:val="24"/>
        </w:rPr>
        <w:t>Grants to States web-based annual reporting system.  The focus remained at a project level</w:t>
      </w:r>
      <w:r w:rsidR="00EF624E" w:rsidRPr="00B1350E">
        <w:rPr>
          <w:rFonts w:ascii="Arial" w:hAnsi="Arial" w:cs="Arial"/>
          <w:sz w:val="24"/>
          <w:szCs w:val="24"/>
        </w:rPr>
        <w:t>,</w:t>
      </w:r>
      <w:r w:rsidRPr="00B1350E">
        <w:rPr>
          <w:rFonts w:ascii="Arial" w:hAnsi="Arial" w:cs="Arial"/>
          <w:sz w:val="24"/>
          <w:szCs w:val="24"/>
        </w:rPr>
        <w:t xml:space="preserve"> with much of the architecture </w:t>
      </w:r>
      <w:r w:rsidR="00EF624E" w:rsidRPr="00B1350E">
        <w:rPr>
          <w:rFonts w:ascii="Arial" w:hAnsi="Arial" w:cs="Arial"/>
          <w:sz w:val="24"/>
          <w:szCs w:val="24"/>
        </w:rPr>
        <w:t xml:space="preserve">continuing to </w:t>
      </w:r>
      <w:r w:rsidRPr="00B1350E">
        <w:rPr>
          <w:rFonts w:ascii="Arial" w:hAnsi="Arial" w:cs="Arial"/>
          <w:sz w:val="24"/>
          <w:szCs w:val="24"/>
        </w:rPr>
        <w:t xml:space="preserve">monitor expended funds.  This reporting system allowed OBE reporting for both the SLAA as a whole and for </w:t>
      </w:r>
      <w:r w:rsidR="00EF624E" w:rsidRPr="00B1350E">
        <w:rPr>
          <w:rFonts w:ascii="Arial" w:hAnsi="Arial" w:cs="Arial"/>
          <w:sz w:val="24"/>
          <w:szCs w:val="24"/>
        </w:rPr>
        <w:t xml:space="preserve">its </w:t>
      </w:r>
      <w:r w:rsidR="00266476" w:rsidRPr="00B1350E">
        <w:rPr>
          <w:rFonts w:ascii="Arial" w:hAnsi="Arial" w:cs="Arial"/>
          <w:sz w:val="24"/>
          <w:szCs w:val="24"/>
        </w:rPr>
        <w:t xml:space="preserve">project </w:t>
      </w:r>
      <w:r w:rsidR="00EF624E" w:rsidRPr="00B1350E">
        <w:rPr>
          <w:rFonts w:ascii="Arial" w:hAnsi="Arial" w:cs="Arial"/>
          <w:sz w:val="24"/>
          <w:szCs w:val="24"/>
        </w:rPr>
        <w:t xml:space="preserve">grants. </w:t>
      </w:r>
      <w:r w:rsidRPr="00B1350E">
        <w:rPr>
          <w:rFonts w:ascii="Arial" w:hAnsi="Arial" w:cs="Arial"/>
          <w:sz w:val="24"/>
          <w:szCs w:val="24"/>
        </w:rPr>
        <w:t xml:space="preserve"> Reporting progress made in building </w:t>
      </w:r>
      <w:r w:rsidR="00EF624E" w:rsidRPr="00B1350E">
        <w:rPr>
          <w:rFonts w:ascii="Arial" w:hAnsi="Arial" w:cs="Arial"/>
          <w:sz w:val="24"/>
          <w:szCs w:val="24"/>
        </w:rPr>
        <w:t xml:space="preserve">SLAA </w:t>
      </w:r>
      <w:r w:rsidRPr="00B1350E">
        <w:rPr>
          <w:rFonts w:ascii="Arial" w:hAnsi="Arial" w:cs="Arial"/>
          <w:sz w:val="24"/>
          <w:szCs w:val="24"/>
        </w:rPr>
        <w:t>OBE capacity</w:t>
      </w:r>
      <w:r w:rsidR="00EF624E" w:rsidRPr="00B1350E">
        <w:rPr>
          <w:rFonts w:ascii="Arial" w:hAnsi="Arial" w:cs="Arial"/>
          <w:sz w:val="24"/>
          <w:szCs w:val="24"/>
        </w:rPr>
        <w:t xml:space="preserve"> was optional, with more detailed i</w:t>
      </w:r>
      <w:r w:rsidRPr="00B1350E">
        <w:rPr>
          <w:rFonts w:ascii="Arial" w:hAnsi="Arial" w:cs="Arial"/>
          <w:sz w:val="24"/>
          <w:szCs w:val="24"/>
        </w:rPr>
        <w:t xml:space="preserve">nformation </w:t>
      </w:r>
      <w:r w:rsidR="00EF624E" w:rsidRPr="00B1350E">
        <w:rPr>
          <w:rFonts w:ascii="Arial" w:hAnsi="Arial" w:cs="Arial"/>
          <w:sz w:val="24"/>
          <w:szCs w:val="24"/>
        </w:rPr>
        <w:t>requested</w:t>
      </w:r>
      <w:r w:rsidRPr="00B1350E">
        <w:rPr>
          <w:rFonts w:ascii="Arial" w:hAnsi="Arial" w:cs="Arial"/>
          <w:sz w:val="24"/>
          <w:szCs w:val="24"/>
        </w:rPr>
        <w:t xml:space="preserve"> at </w:t>
      </w:r>
      <w:r w:rsidRPr="00B1350E">
        <w:rPr>
          <w:rFonts w:ascii="Arial" w:hAnsi="Arial" w:cs="Arial"/>
          <w:sz w:val="24"/>
          <w:szCs w:val="24"/>
        </w:rPr>
        <w:lastRenderedPageBreak/>
        <w:t xml:space="preserve">the project level.  Fields </w:t>
      </w:r>
      <w:r w:rsidR="006D5508" w:rsidRPr="00B1350E">
        <w:rPr>
          <w:rFonts w:ascii="Arial" w:hAnsi="Arial" w:cs="Arial"/>
          <w:sz w:val="24"/>
          <w:szCs w:val="24"/>
        </w:rPr>
        <w:t xml:space="preserve">in the online reporting tool </w:t>
      </w:r>
      <w:r w:rsidRPr="00B1350E">
        <w:rPr>
          <w:rFonts w:ascii="Arial" w:hAnsi="Arial" w:cs="Arial"/>
          <w:sz w:val="24"/>
          <w:szCs w:val="24"/>
        </w:rPr>
        <w:t>were created for projects to enter information on activities, outputs</w:t>
      </w:r>
      <w:r w:rsidR="008A148D" w:rsidRPr="00B1350E">
        <w:rPr>
          <w:rFonts w:ascii="Arial" w:hAnsi="Arial" w:cs="Arial"/>
          <w:sz w:val="24"/>
          <w:szCs w:val="24"/>
        </w:rPr>
        <w:t>,</w:t>
      </w:r>
      <w:r w:rsidRPr="00B1350E">
        <w:rPr>
          <w:rFonts w:ascii="Arial" w:hAnsi="Arial" w:cs="Arial"/>
          <w:sz w:val="24"/>
          <w:szCs w:val="24"/>
        </w:rPr>
        <w:t xml:space="preserve"> and outcomes</w:t>
      </w:r>
      <w:r w:rsidR="006D5508" w:rsidRPr="00B1350E">
        <w:rPr>
          <w:rFonts w:ascii="Arial" w:hAnsi="Arial" w:cs="Arial"/>
          <w:sz w:val="24"/>
          <w:szCs w:val="24"/>
        </w:rPr>
        <w:t xml:space="preserve">, paralleling </w:t>
      </w:r>
      <w:r w:rsidRPr="00B1350E">
        <w:rPr>
          <w:rFonts w:ascii="Arial" w:hAnsi="Arial" w:cs="Arial"/>
          <w:sz w:val="24"/>
          <w:szCs w:val="24"/>
        </w:rPr>
        <w:t>logic model</w:t>
      </w:r>
      <w:r w:rsidR="006D5508" w:rsidRPr="00B1350E">
        <w:rPr>
          <w:rFonts w:ascii="Arial" w:hAnsi="Arial" w:cs="Arial"/>
          <w:sz w:val="24"/>
          <w:szCs w:val="24"/>
        </w:rPr>
        <w:t xml:space="preserve"> architecture</w:t>
      </w:r>
      <w:r w:rsidRPr="00B1350E">
        <w:rPr>
          <w:rFonts w:ascii="Arial" w:hAnsi="Arial" w:cs="Arial"/>
          <w:sz w:val="24"/>
          <w:szCs w:val="24"/>
        </w:rPr>
        <w:t xml:space="preserve">.  </w:t>
      </w:r>
    </w:p>
    <w:p w:rsidR="00C058FD" w:rsidRDefault="006D5508" w:rsidP="00C87909">
      <w:pPr>
        <w:pStyle w:val="Body1"/>
        <w:spacing w:before="120" w:after="120" w:line="360" w:lineRule="auto"/>
        <w:rPr>
          <w:rFonts w:ascii="Arial" w:hAnsi="Arial" w:cs="Arial"/>
          <w:sz w:val="24"/>
          <w:szCs w:val="24"/>
        </w:rPr>
      </w:pPr>
      <w:r w:rsidRPr="00B1350E">
        <w:rPr>
          <w:rFonts w:ascii="Arial" w:hAnsi="Arial" w:cs="Arial"/>
          <w:sz w:val="24"/>
          <w:szCs w:val="24"/>
        </w:rPr>
        <w:t>S</w:t>
      </w:r>
      <w:r w:rsidR="00C87909" w:rsidRPr="00B1350E">
        <w:rPr>
          <w:rFonts w:ascii="Arial" w:hAnsi="Arial" w:cs="Arial"/>
          <w:sz w:val="24"/>
          <w:szCs w:val="24"/>
        </w:rPr>
        <w:t xml:space="preserve">ubstantial effort was devoted to </w:t>
      </w:r>
      <w:r w:rsidRPr="00B1350E">
        <w:rPr>
          <w:rFonts w:ascii="Arial" w:hAnsi="Arial" w:cs="Arial"/>
          <w:sz w:val="24"/>
          <w:szCs w:val="24"/>
        </w:rPr>
        <w:t>creat</w:t>
      </w:r>
      <w:r w:rsidR="00994AFC">
        <w:rPr>
          <w:rFonts w:ascii="Arial" w:hAnsi="Arial" w:cs="Arial"/>
          <w:sz w:val="24"/>
          <w:szCs w:val="24"/>
        </w:rPr>
        <w:t xml:space="preserve">ing </w:t>
      </w:r>
      <w:r w:rsidR="009E37EE">
        <w:rPr>
          <w:rFonts w:ascii="Arial" w:hAnsi="Arial" w:cs="Arial"/>
          <w:sz w:val="24"/>
          <w:szCs w:val="24"/>
        </w:rPr>
        <w:t xml:space="preserve">a </w:t>
      </w:r>
      <w:r w:rsidR="008221FC">
        <w:rPr>
          <w:rFonts w:ascii="Arial" w:hAnsi="Arial" w:cs="Arial"/>
          <w:sz w:val="24"/>
          <w:szCs w:val="24"/>
        </w:rPr>
        <w:t>taxonomy</w:t>
      </w:r>
      <w:r w:rsidR="00C87909" w:rsidRPr="00B1350E">
        <w:rPr>
          <w:rFonts w:ascii="Arial" w:hAnsi="Arial" w:cs="Arial"/>
          <w:sz w:val="24"/>
          <w:szCs w:val="24"/>
        </w:rPr>
        <w:t xml:space="preserve"> </w:t>
      </w:r>
      <w:r w:rsidRPr="00B1350E">
        <w:rPr>
          <w:rFonts w:ascii="Arial" w:hAnsi="Arial" w:cs="Arial"/>
          <w:sz w:val="24"/>
          <w:szCs w:val="24"/>
        </w:rPr>
        <w:t xml:space="preserve">to </w:t>
      </w:r>
      <w:r w:rsidR="00C87909" w:rsidRPr="00B1350E">
        <w:rPr>
          <w:rFonts w:ascii="Arial" w:hAnsi="Arial" w:cs="Arial"/>
          <w:sz w:val="24"/>
          <w:szCs w:val="24"/>
        </w:rPr>
        <w:t>classify projects</w:t>
      </w:r>
      <w:r w:rsidRPr="00B1350E">
        <w:rPr>
          <w:rFonts w:ascii="Arial" w:hAnsi="Arial" w:cs="Arial"/>
          <w:sz w:val="24"/>
          <w:szCs w:val="24"/>
        </w:rPr>
        <w:t xml:space="preserve"> related to legislated priorities</w:t>
      </w:r>
      <w:r w:rsidR="00C87909" w:rsidRPr="00B1350E">
        <w:rPr>
          <w:rFonts w:ascii="Arial" w:hAnsi="Arial" w:cs="Arial"/>
          <w:sz w:val="24"/>
          <w:szCs w:val="24"/>
        </w:rPr>
        <w:t xml:space="preserve">, </w:t>
      </w:r>
      <w:r w:rsidRPr="00B1350E">
        <w:rPr>
          <w:rFonts w:ascii="Arial" w:hAnsi="Arial" w:cs="Arial"/>
          <w:sz w:val="24"/>
          <w:szCs w:val="24"/>
        </w:rPr>
        <w:t xml:space="preserve">but </w:t>
      </w:r>
      <w:r w:rsidR="00C87909" w:rsidRPr="00B1350E">
        <w:rPr>
          <w:rFonts w:ascii="Arial" w:hAnsi="Arial" w:cs="Arial"/>
          <w:sz w:val="24"/>
          <w:szCs w:val="24"/>
        </w:rPr>
        <w:t xml:space="preserve">no standardized measures at the project level were incorporated for outputs </w:t>
      </w:r>
      <w:r w:rsidR="008A148D" w:rsidRPr="00B1350E">
        <w:rPr>
          <w:rFonts w:ascii="Arial" w:hAnsi="Arial" w:cs="Arial"/>
          <w:sz w:val="24"/>
          <w:szCs w:val="24"/>
        </w:rPr>
        <w:t>or</w:t>
      </w:r>
      <w:r w:rsidR="00C87909" w:rsidRPr="00B1350E">
        <w:rPr>
          <w:rFonts w:ascii="Arial" w:hAnsi="Arial" w:cs="Arial"/>
          <w:sz w:val="24"/>
          <w:szCs w:val="24"/>
        </w:rPr>
        <w:t xml:space="preserve"> outcomes</w:t>
      </w:r>
      <w:r w:rsidRPr="00B1350E">
        <w:rPr>
          <w:rFonts w:ascii="Arial" w:hAnsi="Arial" w:cs="Arial"/>
          <w:sz w:val="24"/>
          <w:szCs w:val="24"/>
        </w:rPr>
        <w:t xml:space="preserve">.  The reluctance to examine </w:t>
      </w:r>
      <w:r w:rsidR="00C87909" w:rsidRPr="00B1350E">
        <w:rPr>
          <w:rFonts w:ascii="Arial" w:hAnsi="Arial" w:cs="Arial"/>
          <w:sz w:val="24"/>
          <w:szCs w:val="24"/>
        </w:rPr>
        <w:t xml:space="preserve">program participants’ experiences in </w:t>
      </w:r>
      <w:r w:rsidRPr="00B1350E">
        <w:rPr>
          <w:rFonts w:ascii="Arial" w:hAnsi="Arial" w:cs="Arial"/>
          <w:sz w:val="24"/>
          <w:szCs w:val="24"/>
        </w:rPr>
        <w:t xml:space="preserve">library </w:t>
      </w:r>
      <w:r w:rsidR="00C87909" w:rsidRPr="00B1350E">
        <w:rPr>
          <w:rFonts w:ascii="Arial" w:hAnsi="Arial" w:cs="Arial"/>
          <w:sz w:val="24"/>
          <w:szCs w:val="24"/>
        </w:rPr>
        <w:t>programs</w:t>
      </w:r>
      <w:r w:rsidRPr="00B1350E">
        <w:rPr>
          <w:rFonts w:ascii="Arial" w:hAnsi="Arial" w:cs="Arial"/>
          <w:sz w:val="24"/>
          <w:szCs w:val="24"/>
        </w:rPr>
        <w:t xml:space="preserve"> </w:t>
      </w:r>
      <w:r w:rsidR="00C87909" w:rsidRPr="00B1350E">
        <w:rPr>
          <w:rFonts w:ascii="Arial" w:hAnsi="Arial" w:cs="Arial"/>
          <w:sz w:val="24"/>
          <w:szCs w:val="24"/>
        </w:rPr>
        <w:t xml:space="preserve">reflected a </w:t>
      </w:r>
      <w:r w:rsidR="00846F63">
        <w:rPr>
          <w:rFonts w:ascii="Arial" w:hAnsi="Arial" w:cs="Arial"/>
          <w:sz w:val="24"/>
          <w:szCs w:val="24"/>
        </w:rPr>
        <w:t xml:space="preserve">hesitancy </w:t>
      </w:r>
      <w:r w:rsidR="00846F63" w:rsidRPr="00B1350E">
        <w:rPr>
          <w:rFonts w:ascii="Arial" w:hAnsi="Arial" w:cs="Arial"/>
          <w:sz w:val="24"/>
          <w:szCs w:val="24"/>
        </w:rPr>
        <w:t>to</w:t>
      </w:r>
      <w:r w:rsidR="00C87909" w:rsidRPr="00B1350E">
        <w:rPr>
          <w:rFonts w:ascii="Arial" w:hAnsi="Arial" w:cs="Arial"/>
          <w:sz w:val="24"/>
          <w:szCs w:val="24"/>
        </w:rPr>
        <w:t xml:space="preserve"> cross a perceived </w:t>
      </w:r>
      <w:r w:rsidRPr="00B1350E">
        <w:rPr>
          <w:rFonts w:ascii="Arial" w:hAnsi="Arial" w:cs="Arial"/>
          <w:sz w:val="24"/>
          <w:szCs w:val="24"/>
        </w:rPr>
        <w:t xml:space="preserve">user confidentiality </w:t>
      </w:r>
      <w:r w:rsidR="00C87909" w:rsidRPr="00B1350E">
        <w:rPr>
          <w:rFonts w:ascii="Arial" w:hAnsi="Arial" w:cs="Arial"/>
          <w:sz w:val="24"/>
          <w:szCs w:val="24"/>
        </w:rPr>
        <w:t xml:space="preserve">barrier.  It also reflected an inability to develop a logical structure to </w:t>
      </w:r>
      <w:r w:rsidR="006651B7" w:rsidRPr="00B1350E">
        <w:rPr>
          <w:rFonts w:ascii="Arial" w:hAnsi="Arial" w:cs="Arial"/>
          <w:sz w:val="24"/>
          <w:szCs w:val="24"/>
        </w:rPr>
        <w:t>accommodate</w:t>
      </w:r>
      <w:r w:rsidRPr="00B1350E">
        <w:rPr>
          <w:rFonts w:ascii="Arial" w:hAnsi="Arial" w:cs="Arial"/>
          <w:sz w:val="24"/>
          <w:szCs w:val="24"/>
        </w:rPr>
        <w:t xml:space="preserve"> wide</w:t>
      </w:r>
      <w:r w:rsidR="00C87909" w:rsidRPr="00B1350E">
        <w:rPr>
          <w:rFonts w:ascii="Arial" w:hAnsi="Arial" w:cs="Arial"/>
          <w:sz w:val="24"/>
          <w:szCs w:val="24"/>
        </w:rPr>
        <w:t xml:space="preserve"> variation in </w:t>
      </w:r>
      <w:r w:rsidR="00412C52" w:rsidRPr="00B1350E">
        <w:rPr>
          <w:rFonts w:ascii="Arial" w:hAnsi="Arial" w:cs="Arial"/>
          <w:sz w:val="24"/>
          <w:szCs w:val="24"/>
        </w:rPr>
        <w:t>s</w:t>
      </w:r>
      <w:r w:rsidRPr="00B1350E">
        <w:rPr>
          <w:rFonts w:ascii="Arial" w:hAnsi="Arial" w:cs="Arial"/>
          <w:sz w:val="24"/>
          <w:szCs w:val="24"/>
        </w:rPr>
        <w:t>ervice delivery</w:t>
      </w:r>
      <w:r w:rsidR="00C87909" w:rsidRPr="00B1350E">
        <w:rPr>
          <w:rFonts w:ascii="Arial" w:hAnsi="Arial" w:cs="Arial"/>
          <w:sz w:val="24"/>
          <w:szCs w:val="24"/>
        </w:rPr>
        <w:t xml:space="preserve">.  </w:t>
      </w:r>
    </w:p>
    <w:p w:rsidR="00C058FD" w:rsidRPr="00B1350E" w:rsidRDefault="00C058FD" w:rsidP="00C87909">
      <w:pPr>
        <w:pStyle w:val="Body1"/>
        <w:spacing w:before="120" w:after="120" w:line="360" w:lineRule="auto"/>
        <w:rPr>
          <w:rFonts w:ascii="Arial" w:hAnsi="Arial" w:cs="Arial"/>
          <w:sz w:val="24"/>
          <w:szCs w:val="24"/>
        </w:rPr>
      </w:pPr>
      <w:r>
        <w:rPr>
          <w:rFonts w:ascii="Arial" w:hAnsi="Arial" w:cs="Arial"/>
          <w:sz w:val="24"/>
          <w:szCs w:val="24"/>
        </w:rPr>
        <w:t xml:space="preserve">As the effort to use this approach to OBE matured through a little over the first half of the decade, IMLS continued to invest substantial resources to this endeavor.  This impacted relations with </w:t>
      </w:r>
      <w:r w:rsidR="009933B7">
        <w:rPr>
          <w:rFonts w:ascii="Arial" w:hAnsi="Arial" w:cs="Arial"/>
          <w:sz w:val="24"/>
          <w:szCs w:val="24"/>
        </w:rPr>
        <w:t>each</w:t>
      </w:r>
      <w:r>
        <w:rPr>
          <w:rFonts w:ascii="Arial" w:hAnsi="Arial" w:cs="Arial"/>
          <w:sz w:val="24"/>
          <w:szCs w:val="24"/>
        </w:rPr>
        <w:t xml:space="preserve"> SLAA partner, as </w:t>
      </w:r>
      <w:r w:rsidR="00CD2617">
        <w:rPr>
          <w:rFonts w:ascii="Arial" w:hAnsi="Arial" w:cs="Arial"/>
          <w:sz w:val="24"/>
          <w:szCs w:val="24"/>
        </w:rPr>
        <w:t>a number of the states</w:t>
      </w:r>
      <w:r>
        <w:rPr>
          <w:rFonts w:ascii="Arial" w:hAnsi="Arial" w:cs="Arial"/>
          <w:sz w:val="24"/>
          <w:szCs w:val="24"/>
        </w:rPr>
        <w:t xml:space="preserve"> soon designated at least one staff person to </w:t>
      </w:r>
      <w:r w:rsidR="009933B7">
        <w:rPr>
          <w:rFonts w:ascii="Arial" w:hAnsi="Arial" w:cs="Arial"/>
          <w:sz w:val="24"/>
          <w:szCs w:val="24"/>
        </w:rPr>
        <w:t>manage</w:t>
      </w:r>
      <w:r>
        <w:rPr>
          <w:rFonts w:ascii="Arial" w:hAnsi="Arial" w:cs="Arial"/>
          <w:sz w:val="24"/>
          <w:szCs w:val="24"/>
        </w:rPr>
        <w:t xml:space="preserve"> the new OBE approach</w:t>
      </w:r>
      <w:r w:rsidR="009933B7">
        <w:rPr>
          <w:rFonts w:ascii="Arial" w:hAnsi="Arial" w:cs="Arial"/>
          <w:sz w:val="24"/>
          <w:szCs w:val="24"/>
        </w:rPr>
        <w:t xml:space="preserve"> within their agency</w:t>
      </w:r>
      <w:r>
        <w:rPr>
          <w:rFonts w:ascii="Arial" w:hAnsi="Arial" w:cs="Arial"/>
          <w:sz w:val="24"/>
          <w:szCs w:val="24"/>
        </w:rPr>
        <w:t>.  Further, attempts were  made to drill deeper into two specific areas involving substantive investment of Grant</w:t>
      </w:r>
      <w:r w:rsidR="009933B7">
        <w:rPr>
          <w:rFonts w:ascii="Arial" w:hAnsi="Arial" w:cs="Arial"/>
          <w:sz w:val="24"/>
          <w:szCs w:val="24"/>
        </w:rPr>
        <w:t>s to States funds for project grants</w:t>
      </w:r>
      <w:r w:rsidR="00AF2903">
        <w:rPr>
          <w:rFonts w:ascii="Arial" w:hAnsi="Arial" w:cs="Arial"/>
          <w:sz w:val="24"/>
          <w:szCs w:val="24"/>
        </w:rPr>
        <w:t xml:space="preserve"> </w:t>
      </w:r>
      <w:r>
        <w:rPr>
          <w:rFonts w:ascii="Arial" w:hAnsi="Arial" w:cs="Arial"/>
          <w:sz w:val="24"/>
          <w:szCs w:val="24"/>
        </w:rPr>
        <w:t>– early childhood reading and staff development.  While analyses were done for guiding assessment and pilots launched in multiple sites</w:t>
      </w:r>
      <w:r w:rsidR="009933B7">
        <w:rPr>
          <w:rFonts w:ascii="Arial" w:hAnsi="Arial" w:cs="Arial"/>
          <w:sz w:val="24"/>
          <w:szCs w:val="24"/>
        </w:rPr>
        <w:t xml:space="preserve"> around both subject areas</w:t>
      </w:r>
      <w:r>
        <w:rPr>
          <w:rFonts w:ascii="Arial" w:hAnsi="Arial" w:cs="Arial"/>
          <w:sz w:val="24"/>
          <w:szCs w:val="24"/>
        </w:rPr>
        <w:t xml:space="preserve">, the endeavors </w:t>
      </w:r>
      <w:r w:rsidR="00670C46">
        <w:rPr>
          <w:rFonts w:ascii="Arial" w:hAnsi="Arial" w:cs="Arial"/>
          <w:sz w:val="24"/>
          <w:szCs w:val="24"/>
        </w:rPr>
        <w:t xml:space="preserve">were not brought to a level </w:t>
      </w:r>
      <w:r w:rsidR="00846F63">
        <w:rPr>
          <w:rFonts w:ascii="Arial" w:hAnsi="Arial" w:cs="Arial"/>
          <w:sz w:val="24"/>
          <w:szCs w:val="24"/>
        </w:rPr>
        <w:t>of refinement</w:t>
      </w:r>
      <w:r>
        <w:rPr>
          <w:rFonts w:ascii="Arial" w:hAnsi="Arial" w:cs="Arial"/>
          <w:sz w:val="24"/>
          <w:szCs w:val="24"/>
        </w:rPr>
        <w:t xml:space="preserve"> </w:t>
      </w:r>
      <w:r w:rsidR="00670C46">
        <w:rPr>
          <w:rFonts w:ascii="Arial" w:hAnsi="Arial" w:cs="Arial"/>
          <w:sz w:val="24"/>
          <w:szCs w:val="24"/>
        </w:rPr>
        <w:t>to support</w:t>
      </w:r>
      <w:r>
        <w:rPr>
          <w:rFonts w:ascii="Arial" w:hAnsi="Arial" w:cs="Arial"/>
          <w:sz w:val="24"/>
          <w:szCs w:val="24"/>
        </w:rPr>
        <w:t xml:space="preserve"> large-scale adoption.  </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 xml:space="preserve">Overall, the Grants to States reporting system evolved without a unified theory of change </w:t>
      </w:r>
      <w:r w:rsidR="006D5508" w:rsidRPr="00B1350E">
        <w:rPr>
          <w:rFonts w:ascii="Arial" w:hAnsi="Arial" w:cs="Arial"/>
          <w:sz w:val="24"/>
          <w:szCs w:val="24"/>
        </w:rPr>
        <w:t xml:space="preserve">to </w:t>
      </w:r>
      <w:r w:rsidR="005A6D55" w:rsidRPr="00B1350E">
        <w:rPr>
          <w:rFonts w:ascii="Arial" w:hAnsi="Arial" w:cs="Arial"/>
          <w:sz w:val="24"/>
          <w:szCs w:val="24"/>
        </w:rPr>
        <w:t>cumulate results for</w:t>
      </w:r>
      <w:r w:rsidRPr="00B1350E">
        <w:rPr>
          <w:rFonts w:ascii="Arial" w:hAnsi="Arial" w:cs="Arial"/>
          <w:sz w:val="24"/>
          <w:szCs w:val="24"/>
        </w:rPr>
        <w:t xml:space="preserve"> the plethora of library programs supported with Grants to States funds across SLAA</w:t>
      </w:r>
      <w:r w:rsidR="005A6D55" w:rsidRPr="00B1350E">
        <w:rPr>
          <w:rFonts w:ascii="Arial" w:hAnsi="Arial" w:cs="Arial"/>
          <w:sz w:val="24"/>
          <w:szCs w:val="24"/>
        </w:rPr>
        <w:t>s</w:t>
      </w:r>
      <w:r w:rsidRPr="00B1350E">
        <w:rPr>
          <w:rFonts w:ascii="Arial" w:hAnsi="Arial" w:cs="Arial"/>
          <w:sz w:val="24"/>
          <w:szCs w:val="24"/>
        </w:rPr>
        <w:t xml:space="preserve"> </w:t>
      </w:r>
      <w:r w:rsidR="00412C52" w:rsidRPr="00B1350E">
        <w:rPr>
          <w:rFonts w:ascii="Arial" w:hAnsi="Arial" w:cs="Arial"/>
          <w:sz w:val="24"/>
          <w:szCs w:val="24"/>
        </w:rPr>
        <w:t xml:space="preserve">and </w:t>
      </w:r>
      <w:r w:rsidRPr="00B1350E">
        <w:rPr>
          <w:rFonts w:ascii="Arial" w:hAnsi="Arial" w:cs="Arial"/>
          <w:sz w:val="24"/>
          <w:szCs w:val="24"/>
        </w:rPr>
        <w:t xml:space="preserve">their local library partners.  As a result, IMLS and its independent contractors for assessment of </w:t>
      </w:r>
      <w:r w:rsidR="00B1350E">
        <w:rPr>
          <w:rFonts w:ascii="Arial" w:hAnsi="Arial" w:cs="Arial"/>
          <w:sz w:val="24"/>
          <w:szCs w:val="24"/>
        </w:rPr>
        <w:t xml:space="preserve">the </w:t>
      </w:r>
      <w:r w:rsidRPr="00B1350E">
        <w:rPr>
          <w:rFonts w:ascii="Arial" w:hAnsi="Arial" w:cs="Arial"/>
          <w:sz w:val="24"/>
          <w:szCs w:val="24"/>
        </w:rPr>
        <w:t xml:space="preserve">SLAA five-year </w:t>
      </w:r>
      <w:r w:rsidR="005A6D55" w:rsidRPr="00B1350E">
        <w:rPr>
          <w:rFonts w:ascii="Arial" w:hAnsi="Arial" w:cs="Arial"/>
          <w:sz w:val="24"/>
          <w:szCs w:val="24"/>
        </w:rPr>
        <w:t xml:space="preserve">evaluations </w:t>
      </w:r>
      <w:r w:rsidRPr="00B1350E">
        <w:rPr>
          <w:rFonts w:ascii="Arial" w:hAnsi="Arial" w:cs="Arial"/>
          <w:sz w:val="24"/>
          <w:szCs w:val="24"/>
        </w:rPr>
        <w:t>submitted in 2002 and 2007 found it extremely difficult to aggregate beyond individual project</w:t>
      </w:r>
      <w:r w:rsidR="005A6D55" w:rsidRPr="00B1350E">
        <w:rPr>
          <w:rFonts w:ascii="Arial" w:hAnsi="Arial" w:cs="Arial"/>
          <w:sz w:val="24"/>
          <w:szCs w:val="24"/>
        </w:rPr>
        <w:t>s</w:t>
      </w:r>
      <w:r w:rsidRPr="00B1350E">
        <w:rPr>
          <w:rFonts w:ascii="Arial" w:hAnsi="Arial" w:cs="Arial"/>
          <w:sz w:val="24"/>
          <w:szCs w:val="24"/>
        </w:rPr>
        <w:t xml:space="preserve"> </w:t>
      </w:r>
      <w:r w:rsidR="005A6D55" w:rsidRPr="00B1350E">
        <w:rPr>
          <w:rFonts w:ascii="Arial" w:hAnsi="Arial" w:cs="Arial"/>
          <w:sz w:val="24"/>
          <w:szCs w:val="24"/>
        </w:rPr>
        <w:t xml:space="preserve">to </w:t>
      </w:r>
      <w:r w:rsidRPr="00B1350E">
        <w:rPr>
          <w:rFonts w:ascii="Arial" w:hAnsi="Arial" w:cs="Arial"/>
          <w:sz w:val="24"/>
          <w:szCs w:val="24"/>
        </w:rPr>
        <w:t>assess the performance of a state or a suite of libraries involved with the same</w:t>
      </w:r>
      <w:r w:rsidR="005A6D55" w:rsidRPr="00B1350E">
        <w:rPr>
          <w:rFonts w:ascii="Arial" w:hAnsi="Arial" w:cs="Arial"/>
          <w:sz w:val="24"/>
          <w:szCs w:val="24"/>
        </w:rPr>
        <w:t xml:space="preserve"> program</w:t>
      </w:r>
      <w:r w:rsidR="00412C52" w:rsidRPr="00B1350E">
        <w:rPr>
          <w:rFonts w:ascii="Arial" w:hAnsi="Arial" w:cs="Arial"/>
          <w:sz w:val="24"/>
          <w:szCs w:val="24"/>
        </w:rPr>
        <w:t xml:space="preserve"> category</w:t>
      </w:r>
      <w:r w:rsidR="005A6D55" w:rsidRPr="00B1350E">
        <w:rPr>
          <w:rFonts w:ascii="Arial" w:hAnsi="Arial" w:cs="Arial"/>
          <w:sz w:val="24"/>
          <w:szCs w:val="24"/>
        </w:rPr>
        <w:t xml:space="preserve"> </w:t>
      </w:r>
      <w:r w:rsidRPr="00B1350E">
        <w:rPr>
          <w:rFonts w:ascii="Arial" w:hAnsi="Arial" w:cs="Arial"/>
          <w:sz w:val="24"/>
          <w:szCs w:val="24"/>
        </w:rPr>
        <w:t>(e.g., early childhood reading).</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 xml:space="preserve">Evaluation </w:t>
      </w:r>
      <w:r w:rsidR="005A6D55" w:rsidRPr="00B1350E">
        <w:rPr>
          <w:rFonts w:ascii="Arial" w:hAnsi="Arial" w:cs="Arial"/>
          <w:sz w:val="24"/>
          <w:szCs w:val="24"/>
        </w:rPr>
        <w:t>became</w:t>
      </w:r>
      <w:r w:rsidRPr="00B1350E">
        <w:rPr>
          <w:rFonts w:ascii="Arial" w:hAnsi="Arial" w:cs="Arial"/>
          <w:sz w:val="24"/>
          <w:szCs w:val="24"/>
        </w:rPr>
        <w:t xml:space="preserve"> part of the </w:t>
      </w:r>
      <w:r w:rsidR="005A6D55" w:rsidRPr="00B1350E">
        <w:rPr>
          <w:rFonts w:ascii="Arial" w:hAnsi="Arial" w:cs="Arial"/>
          <w:sz w:val="24"/>
          <w:szCs w:val="24"/>
        </w:rPr>
        <w:t xml:space="preserve">vocabulary </w:t>
      </w:r>
      <w:r w:rsidRPr="00B1350E">
        <w:rPr>
          <w:rFonts w:ascii="Arial" w:hAnsi="Arial" w:cs="Arial"/>
          <w:sz w:val="24"/>
          <w:szCs w:val="24"/>
        </w:rPr>
        <w:t xml:space="preserve">for IMLS and </w:t>
      </w:r>
      <w:r w:rsidR="005A6D55" w:rsidRPr="00B1350E">
        <w:rPr>
          <w:rFonts w:ascii="Arial" w:hAnsi="Arial" w:cs="Arial"/>
          <w:sz w:val="24"/>
          <w:szCs w:val="24"/>
        </w:rPr>
        <w:t>grantees</w:t>
      </w:r>
      <w:r w:rsidRPr="00B1350E">
        <w:rPr>
          <w:rFonts w:ascii="Arial" w:hAnsi="Arial" w:cs="Arial"/>
          <w:sz w:val="24"/>
          <w:szCs w:val="24"/>
        </w:rPr>
        <w:t xml:space="preserve">, but </w:t>
      </w:r>
      <w:r w:rsidR="00E75CEE">
        <w:rPr>
          <w:rFonts w:ascii="Arial" w:hAnsi="Arial" w:cs="Arial"/>
          <w:sz w:val="24"/>
          <w:szCs w:val="24"/>
        </w:rPr>
        <w:t>the</w:t>
      </w:r>
      <w:r w:rsidRPr="00B1350E">
        <w:rPr>
          <w:rFonts w:ascii="Arial" w:hAnsi="Arial" w:cs="Arial"/>
          <w:sz w:val="24"/>
          <w:szCs w:val="24"/>
        </w:rPr>
        <w:t xml:space="preserve"> terms and evidence derived from its incorporation </w:t>
      </w:r>
      <w:r w:rsidR="005A6D55" w:rsidRPr="00B1350E">
        <w:rPr>
          <w:rFonts w:ascii="Arial" w:hAnsi="Arial" w:cs="Arial"/>
          <w:sz w:val="24"/>
          <w:szCs w:val="24"/>
        </w:rPr>
        <w:t xml:space="preserve">could not </w:t>
      </w:r>
      <w:r w:rsidR="00994AFC">
        <w:rPr>
          <w:rFonts w:ascii="Arial" w:hAnsi="Arial" w:cs="Arial"/>
          <w:sz w:val="24"/>
          <w:szCs w:val="24"/>
        </w:rPr>
        <w:t xml:space="preserve">yet </w:t>
      </w:r>
      <w:r w:rsidR="005A6D55" w:rsidRPr="00B1350E">
        <w:rPr>
          <w:rFonts w:ascii="Arial" w:hAnsi="Arial" w:cs="Arial"/>
          <w:sz w:val="24"/>
          <w:szCs w:val="24"/>
        </w:rPr>
        <w:t>be</w:t>
      </w:r>
      <w:r w:rsidRPr="00B1350E">
        <w:rPr>
          <w:rFonts w:ascii="Arial" w:hAnsi="Arial" w:cs="Arial"/>
          <w:sz w:val="24"/>
          <w:szCs w:val="24"/>
        </w:rPr>
        <w:t xml:space="preserve"> used systematically to frame conceptual understandings or</w:t>
      </w:r>
      <w:r w:rsidR="005A6D55" w:rsidRPr="00B1350E">
        <w:rPr>
          <w:rFonts w:ascii="Arial" w:hAnsi="Arial" w:cs="Arial"/>
          <w:sz w:val="24"/>
          <w:szCs w:val="24"/>
        </w:rPr>
        <w:t xml:space="preserve"> to</w:t>
      </w:r>
      <w:r w:rsidRPr="00B1350E">
        <w:rPr>
          <w:rFonts w:ascii="Arial" w:hAnsi="Arial" w:cs="Arial"/>
          <w:sz w:val="24"/>
          <w:szCs w:val="24"/>
        </w:rPr>
        <w:t xml:space="preserve"> guide high-level decisions.  </w:t>
      </w:r>
      <w:r w:rsidR="00466D45" w:rsidRPr="00B1350E">
        <w:rPr>
          <w:rFonts w:ascii="Arial" w:hAnsi="Arial" w:cs="Arial"/>
          <w:sz w:val="24"/>
          <w:szCs w:val="24"/>
        </w:rPr>
        <w:t>Instead</w:t>
      </w:r>
      <w:r w:rsidR="00E75CEE">
        <w:rPr>
          <w:rFonts w:ascii="Arial" w:hAnsi="Arial" w:cs="Arial"/>
          <w:sz w:val="24"/>
          <w:szCs w:val="24"/>
        </w:rPr>
        <w:t>,</w:t>
      </w:r>
      <w:r w:rsidR="00466D45" w:rsidRPr="00B1350E">
        <w:rPr>
          <w:rFonts w:ascii="Arial" w:hAnsi="Arial" w:cs="Arial"/>
          <w:sz w:val="24"/>
          <w:szCs w:val="24"/>
        </w:rPr>
        <w:t xml:space="preserve"> the SLAAs’ autonomy</w:t>
      </w:r>
      <w:r w:rsidR="00424027" w:rsidRPr="00B1350E">
        <w:rPr>
          <w:rFonts w:ascii="Arial" w:hAnsi="Arial" w:cs="Arial"/>
          <w:sz w:val="24"/>
          <w:szCs w:val="24"/>
        </w:rPr>
        <w:t xml:space="preserve">, combined with </w:t>
      </w:r>
      <w:r w:rsidR="00466D45" w:rsidRPr="00B1350E">
        <w:rPr>
          <w:rFonts w:ascii="Arial" w:hAnsi="Arial" w:cs="Arial"/>
          <w:sz w:val="24"/>
          <w:szCs w:val="24"/>
        </w:rPr>
        <w:t>disparate evaluation and program planning experience and knowledge across the Grants to States universe</w:t>
      </w:r>
      <w:r w:rsidR="00AD69F4">
        <w:rPr>
          <w:rFonts w:ascii="Arial" w:hAnsi="Arial" w:cs="Arial"/>
          <w:sz w:val="24"/>
          <w:szCs w:val="24"/>
        </w:rPr>
        <w:t>,</w:t>
      </w:r>
      <w:r w:rsidR="00466D45" w:rsidRPr="00B1350E">
        <w:rPr>
          <w:rFonts w:ascii="Arial" w:hAnsi="Arial" w:cs="Arial"/>
          <w:sz w:val="24"/>
          <w:szCs w:val="24"/>
        </w:rPr>
        <w:t xml:space="preserve"> </w:t>
      </w:r>
      <w:r w:rsidRPr="00B1350E">
        <w:rPr>
          <w:rFonts w:ascii="Arial" w:hAnsi="Arial" w:cs="Arial"/>
          <w:sz w:val="24"/>
          <w:szCs w:val="24"/>
        </w:rPr>
        <w:t xml:space="preserve">created </w:t>
      </w:r>
      <w:r w:rsidR="00466D45" w:rsidRPr="00B1350E">
        <w:rPr>
          <w:rFonts w:ascii="Arial" w:hAnsi="Arial" w:cs="Arial"/>
          <w:sz w:val="24"/>
          <w:szCs w:val="24"/>
        </w:rPr>
        <w:t xml:space="preserve">a </w:t>
      </w:r>
      <w:r w:rsidR="00424027" w:rsidRPr="00B1350E">
        <w:rPr>
          <w:rFonts w:ascii="Arial" w:hAnsi="Arial" w:cs="Arial"/>
          <w:sz w:val="24"/>
          <w:szCs w:val="24"/>
        </w:rPr>
        <w:t xml:space="preserve">system of </w:t>
      </w:r>
      <w:r w:rsidRPr="00B1350E">
        <w:rPr>
          <w:rFonts w:ascii="Arial" w:hAnsi="Arial" w:cs="Arial"/>
          <w:sz w:val="24"/>
          <w:szCs w:val="24"/>
        </w:rPr>
        <w:t xml:space="preserve">complex and </w:t>
      </w:r>
      <w:r w:rsidR="00670C46">
        <w:rPr>
          <w:rFonts w:ascii="Arial" w:hAnsi="Arial" w:cs="Arial"/>
          <w:sz w:val="24"/>
          <w:szCs w:val="24"/>
        </w:rPr>
        <w:t>vaguely</w:t>
      </w:r>
      <w:r w:rsidR="00670C46" w:rsidRPr="00B1350E">
        <w:rPr>
          <w:rFonts w:ascii="Arial" w:hAnsi="Arial" w:cs="Arial"/>
          <w:sz w:val="24"/>
          <w:szCs w:val="24"/>
        </w:rPr>
        <w:t xml:space="preserve"> </w:t>
      </w:r>
      <w:r w:rsidRPr="00B1350E">
        <w:rPr>
          <w:rFonts w:ascii="Arial" w:hAnsi="Arial" w:cs="Arial"/>
          <w:sz w:val="24"/>
          <w:szCs w:val="24"/>
        </w:rPr>
        <w:t>understood elements</w:t>
      </w:r>
      <w:r w:rsidR="00B86939" w:rsidRPr="00B1350E">
        <w:rPr>
          <w:rFonts w:ascii="Arial" w:hAnsi="Arial" w:cs="Arial"/>
          <w:sz w:val="24"/>
          <w:szCs w:val="24"/>
        </w:rPr>
        <w:t>,</w:t>
      </w:r>
      <w:r w:rsidRPr="00B1350E">
        <w:rPr>
          <w:rFonts w:ascii="Arial" w:hAnsi="Arial" w:cs="Arial"/>
          <w:sz w:val="24"/>
          <w:szCs w:val="24"/>
        </w:rPr>
        <w:t xml:space="preserve"> fragmented across a multitude of projects</w:t>
      </w:r>
      <w:r w:rsidR="00424027" w:rsidRPr="00B1350E">
        <w:rPr>
          <w:rFonts w:ascii="Arial" w:hAnsi="Arial" w:cs="Arial"/>
          <w:sz w:val="24"/>
          <w:szCs w:val="24"/>
        </w:rPr>
        <w:t xml:space="preserve">.  This </w:t>
      </w:r>
      <w:r w:rsidRPr="00B1350E">
        <w:rPr>
          <w:rFonts w:ascii="Arial" w:hAnsi="Arial" w:cs="Arial"/>
          <w:sz w:val="24"/>
          <w:szCs w:val="24"/>
        </w:rPr>
        <w:t xml:space="preserve">made </w:t>
      </w:r>
      <w:r w:rsidRPr="00B1350E">
        <w:rPr>
          <w:rFonts w:ascii="Arial" w:hAnsi="Arial" w:cs="Arial"/>
          <w:sz w:val="24"/>
          <w:szCs w:val="24"/>
        </w:rPr>
        <w:lastRenderedPageBreak/>
        <w:t xml:space="preserve">monitoring funding expenditures </w:t>
      </w:r>
      <w:r w:rsidR="00424027" w:rsidRPr="00B1350E">
        <w:rPr>
          <w:rFonts w:ascii="Arial" w:hAnsi="Arial" w:cs="Arial"/>
          <w:sz w:val="24"/>
          <w:szCs w:val="24"/>
        </w:rPr>
        <w:t xml:space="preserve">by project category </w:t>
      </w:r>
      <w:r w:rsidRPr="00B1350E">
        <w:rPr>
          <w:rFonts w:ascii="Arial" w:hAnsi="Arial" w:cs="Arial"/>
          <w:sz w:val="24"/>
          <w:szCs w:val="24"/>
        </w:rPr>
        <w:t>complex and evaluation of results beyond individual project</w:t>
      </w:r>
      <w:r w:rsidR="00424027" w:rsidRPr="00B1350E">
        <w:rPr>
          <w:rFonts w:ascii="Arial" w:hAnsi="Arial" w:cs="Arial"/>
          <w:sz w:val="24"/>
          <w:szCs w:val="24"/>
        </w:rPr>
        <w:t>s</w:t>
      </w:r>
      <w:r w:rsidRPr="00B1350E">
        <w:rPr>
          <w:rFonts w:ascii="Arial" w:hAnsi="Arial" w:cs="Arial"/>
          <w:sz w:val="24"/>
          <w:szCs w:val="24"/>
        </w:rPr>
        <w:t xml:space="preserve"> </w:t>
      </w:r>
      <w:r w:rsidR="00E75CEE" w:rsidRPr="00994AFC">
        <w:rPr>
          <w:rFonts w:ascii="Arial" w:hAnsi="Arial" w:cs="Arial"/>
          <w:sz w:val="24"/>
          <w:szCs w:val="24"/>
        </w:rPr>
        <w:t>nearly impossible</w:t>
      </w:r>
      <w:r w:rsidRPr="00B1350E">
        <w:rPr>
          <w:rFonts w:ascii="Arial" w:hAnsi="Arial" w:cs="Arial"/>
          <w:sz w:val="24"/>
          <w:szCs w:val="24"/>
        </w:rPr>
        <w:t xml:space="preserve">.  </w:t>
      </w:r>
    </w:p>
    <w:p w:rsidR="00C87909" w:rsidRPr="00B1350E" w:rsidRDefault="00C87909" w:rsidP="00C87909">
      <w:pPr>
        <w:pStyle w:val="Body1"/>
        <w:spacing w:before="120" w:after="120" w:line="360" w:lineRule="auto"/>
        <w:rPr>
          <w:rFonts w:ascii="Arial" w:hAnsi="Arial" w:cs="Arial"/>
          <w:sz w:val="24"/>
          <w:szCs w:val="24"/>
        </w:rPr>
      </w:pPr>
      <w:r w:rsidRPr="00B1350E">
        <w:rPr>
          <w:rFonts w:ascii="Arial" w:hAnsi="Arial" w:cs="Arial"/>
          <w:sz w:val="24"/>
          <w:szCs w:val="24"/>
        </w:rPr>
        <w:t xml:space="preserve">By the latter part of the decade, </w:t>
      </w:r>
      <w:r w:rsidR="00101477">
        <w:rPr>
          <w:rFonts w:ascii="Arial" w:hAnsi="Arial" w:cs="Arial"/>
          <w:sz w:val="24"/>
          <w:szCs w:val="24"/>
        </w:rPr>
        <w:t xml:space="preserve">a change in the appointed </w:t>
      </w:r>
      <w:r w:rsidR="00E75CEE">
        <w:rPr>
          <w:rFonts w:ascii="Arial" w:hAnsi="Arial" w:cs="Arial"/>
          <w:sz w:val="24"/>
          <w:szCs w:val="24"/>
        </w:rPr>
        <w:t xml:space="preserve">IMLS </w:t>
      </w:r>
      <w:r w:rsidR="00101477">
        <w:rPr>
          <w:rFonts w:ascii="Arial" w:hAnsi="Arial" w:cs="Arial"/>
          <w:sz w:val="24"/>
          <w:szCs w:val="24"/>
        </w:rPr>
        <w:t>director corresponded with</w:t>
      </w:r>
      <w:r w:rsidR="008A148D" w:rsidRPr="00B1350E">
        <w:rPr>
          <w:rFonts w:ascii="Arial" w:hAnsi="Arial" w:cs="Arial"/>
          <w:sz w:val="24"/>
          <w:szCs w:val="24"/>
        </w:rPr>
        <w:t xml:space="preserve"> </w:t>
      </w:r>
      <w:r w:rsidR="00101477">
        <w:rPr>
          <w:rFonts w:ascii="Arial" w:hAnsi="Arial" w:cs="Arial"/>
          <w:sz w:val="24"/>
          <w:szCs w:val="24"/>
        </w:rPr>
        <w:t xml:space="preserve">a </w:t>
      </w:r>
      <w:r w:rsidR="00536733" w:rsidRPr="00B1350E">
        <w:rPr>
          <w:rFonts w:ascii="Arial" w:hAnsi="Arial" w:cs="Arial"/>
          <w:sz w:val="24"/>
          <w:szCs w:val="24"/>
        </w:rPr>
        <w:t>de-emphas</w:t>
      </w:r>
      <w:r w:rsidR="00536733">
        <w:rPr>
          <w:rFonts w:ascii="Arial" w:hAnsi="Arial" w:cs="Arial"/>
          <w:sz w:val="24"/>
          <w:szCs w:val="24"/>
        </w:rPr>
        <w:t>is</w:t>
      </w:r>
      <w:r w:rsidR="00AB08E1">
        <w:rPr>
          <w:rFonts w:ascii="Arial" w:hAnsi="Arial" w:cs="Arial"/>
          <w:sz w:val="24"/>
          <w:szCs w:val="24"/>
        </w:rPr>
        <w:t xml:space="preserve"> in</w:t>
      </w:r>
      <w:r w:rsidR="00101477">
        <w:rPr>
          <w:rFonts w:ascii="Arial" w:hAnsi="Arial" w:cs="Arial"/>
          <w:sz w:val="24"/>
          <w:szCs w:val="24"/>
        </w:rPr>
        <w:t xml:space="preserve"> program</w:t>
      </w:r>
      <w:r w:rsidRPr="00B1350E">
        <w:rPr>
          <w:rFonts w:ascii="Arial" w:hAnsi="Arial" w:cs="Arial"/>
          <w:sz w:val="24"/>
          <w:szCs w:val="24"/>
        </w:rPr>
        <w:t xml:space="preserve"> evaluation in Grants to States</w:t>
      </w:r>
      <w:r w:rsidR="00101477">
        <w:rPr>
          <w:rFonts w:ascii="Arial" w:hAnsi="Arial" w:cs="Arial"/>
          <w:sz w:val="24"/>
          <w:szCs w:val="24"/>
        </w:rPr>
        <w:t xml:space="preserve"> (and elsewhere in the agency)</w:t>
      </w:r>
      <w:r w:rsidRPr="00B1350E">
        <w:rPr>
          <w:rFonts w:ascii="Arial" w:hAnsi="Arial" w:cs="Arial"/>
          <w:sz w:val="24"/>
          <w:szCs w:val="24"/>
        </w:rPr>
        <w:t xml:space="preserve">.  The third-party </w:t>
      </w:r>
      <w:r w:rsidR="00424027" w:rsidRPr="00B1350E">
        <w:rPr>
          <w:rFonts w:ascii="Arial" w:hAnsi="Arial" w:cs="Arial"/>
          <w:sz w:val="24"/>
          <w:szCs w:val="24"/>
        </w:rPr>
        <w:t xml:space="preserve">evaluation training </w:t>
      </w:r>
      <w:r w:rsidRPr="00B1350E">
        <w:rPr>
          <w:rFonts w:ascii="Arial" w:hAnsi="Arial" w:cs="Arial"/>
          <w:sz w:val="24"/>
          <w:szCs w:val="24"/>
        </w:rPr>
        <w:t xml:space="preserve">contract ended with no substitute.  The one IMLS evaluation officer was reassigned </w:t>
      </w:r>
      <w:r w:rsidR="00E75CEE">
        <w:rPr>
          <w:rFonts w:ascii="Arial" w:hAnsi="Arial" w:cs="Arial"/>
          <w:sz w:val="24"/>
          <w:szCs w:val="24"/>
        </w:rPr>
        <w:t xml:space="preserve">and no </w:t>
      </w:r>
      <w:r w:rsidRPr="00B1350E">
        <w:rPr>
          <w:rFonts w:ascii="Arial" w:hAnsi="Arial" w:cs="Arial"/>
          <w:sz w:val="24"/>
          <w:szCs w:val="24"/>
        </w:rPr>
        <w:t xml:space="preserve">replacement </w:t>
      </w:r>
      <w:r w:rsidR="00E75CEE">
        <w:rPr>
          <w:rFonts w:ascii="Arial" w:hAnsi="Arial" w:cs="Arial"/>
          <w:sz w:val="24"/>
          <w:szCs w:val="24"/>
        </w:rPr>
        <w:t xml:space="preserve">was </w:t>
      </w:r>
      <w:r w:rsidRPr="00B1350E">
        <w:rPr>
          <w:rFonts w:ascii="Arial" w:hAnsi="Arial" w:cs="Arial"/>
          <w:sz w:val="24"/>
          <w:szCs w:val="24"/>
        </w:rPr>
        <w:t xml:space="preserve">hired.  </w:t>
      </w:r>
      <w:r w:rsidR="00424027" w:rsidRPr="00B1350E">
        <w:rPr>
          <w:rFonts w:ascii="Arial" w:hAnsi="Arial" w:cs="Arial"/>
          <w:sz w:val="24"/>
          <w:szCs w:val="24"/>
        </w:rPr>
        <w:t>R</w:t>
      </w:r>
      <w:r w:rsidRPr="00B1350E">
        <w:rPr>
          <w:rFonts w:ascii="Arial" w:hAnsi="Arial" w:cs="Arial"/>
          <w:sz w:val="24"/>
          <w:szCs w:val="24"/>
        </w:rPr>
        <w:t xml:space="preserve">emaining IMLS staff </w:t>
      </w:r>
      <w:r w:rsidR="00424027" w:rsidRPr="00B1350E">
        <w:rPr>
          <w:rFonts w:ascii="Arial" w:hAnsi="Arial" w:cs="Arial"/>
          <w:sz w:val="24"/>
          <w:szCs w:val="24"/>
        </w:rPr>
        <w:t xml:space="preserve">had never been </w:t>
      </w:r>
      <w:r w:rsidRPr="00B1350E">
        <w:rPr>
          <w:rFonts w:ascii="Arial" w:hAnsi="Arial" w:cs="Arial"/>
          <w:sz w:val="24"/>
          <w:szCs w:val="24"/>
        </w:rPr>
        <w:t xml:space="preserve">never fully integrated </w:t>
      </w:r>
      <w:r w:rsidR="00282B88">
        <w:rPr>
          <w:rFonts w:ascii="Arial" w:hAnsi="Arial" w:cs="Arial"/>
          <w:sz w:val="24"/>
          <w:szCs w:val="24"/>
        </w:rPr>
        <w:t>for using OBE</w:t>
      </w:r>
      <w:r w:rsidRPr="00B1350E">
        <w:rPr>
          <w:rFonts w:ascii="Arial" w:hAnsi="Arial" w:cs="Arial"/>
          <w:sz w:val="24"/>
          <w:szCs w:val="24"/>
        </w:rPr>
        <w:t xml:space="preserve">.  Eventually IMLS stopped investing in improving </w:t>
      </w:r>
      <w:r w:rsidR="00E75CEE">
        <w:rPr>
          <w:rFonts w:ascii="Arial" w:hAnsi="Arial" w:cs="Arial"/>
          <w:sz w:val="24"/>
          <w:szCs w:val="24"/>
        </w:rPr>
        <w:t>its</w:t>
      </w:r>
      <w:r w:rsidRPr="00B1350E">
        <w:rPr>
          <w:rFonts w:ascii="Arial" w:hAnsi="Arial" w:cs="Arial"/>
          <w:sz w:val="24"/>
          <w:szCs w:val="24"/>
        </w:rPr>
        <w:t xml:space="preserve"> information reporting system</w:t>
      </w:r>
      <w:r w:rsidR="00E75CEE">
        <w:rPr>
          <w:rFonts w:ascii="Arial" w:hAnsi="Arial" w:cs="Arial"/>
          <w:sz w:val="24"/>
          <w:szCs w:val="24"/>
        </w:rPr>
        <w:t>s on the grounds of</w:t>
      </w:r>
      <w:r w:rsidRPr="00B1350E">
        <w:rPr>
          <w:rFonts w:ascii="Arial" w:hAnsi="Arial" w:cs="Arial"/>
          <w:sz w:val="24"/>
          <w:szCs w:val="24"/>
        </w:rPr>
        <w:t xml:space="preserve"> </w:t>
      </w:r>
      <w:r w:rsidR="00E72378" w:rsidRPr="00B1350E">
        <w:rPr>
          <w:rFonts w:ascii="Arial" w:hAnsi="Arial" w:cs="Arial"/>
          <w:sz w:val="24"/>
          <w:szCs w:val="24"/>
        </w:rPr>
        <w:t xml:space="preserve">concerns for </w:t>
      </w:r>
      <w:r w:rsidRPr="00B1350E">
        <w:rPr>
          <w:rFonts w:ascii="Arial" w:hAnsi="Arial" w:cs="Arial"/>
          <w:sz w:val="24"/>
          <w:szCs w:val="24"/>
        </w:rPr>
        <w:t xml:space="preserve">efficiency and the promise of </w:t>
      </w:r>
      <w:r w:rsidR="00282B88">
        <w:rPr>
          <w:rFonts w:ascii="Arial" w:hAnsi="Arial" w:cs="Arial"/>
          <w:sz w:val="24"/>
          <w:szCs w:val="24"/>
        </w:rPr>
        <w:t>government-wide solutions</w:t>
      </w:r>
      <w:r w:rsidR="00412C52" w:rsidRPr="00B1350E">
        <w:rPr>
          <w:rFonts w:ascii="Arial" w:hAnsi="Arial" w:cs="Arial"/>
          <w:sz w:val="24"/>
          <w:szCs w:val="24"/>
        </w:rPr>
        <w:t xml:space="preserve"> (which ha</w:t>
      </w:r>
      <w:r w:rsidR="00E72378" w:rsidRPr="00B1350E">
        <w:rPr>
          <w:rFonts w:ascii="Arial" w:hAnsi="Arial" w:cs="Arial"/>
          <w:sz w:val="24"/>
          <w:szCs w:val="24"/>
        </w:rPr>
        <w:t>ve</w:t>
      </w:r>
      <w:r w:rsidR="00412C52" w:rsidRPr="00B1350E">
        <w:rPr>
          <w:rFonts w:ascii="Arial" w:hAnsi="Arial" w:cs="Arial"/>
          <w:sz w:val="24"/>
          <w:szCs w:val="24"/>
        </w:rPr>
        <w:t xml:space="preserve"> not yet been implemented </w:t>
      </w:r>
      <w:r w:rsidR="00282B88">
        <w:rPr>
          <w:rFonts w:ascii="Arial" w:hAnsi="Arial" w:cs="Arial"/>
          <w:sz w:val="24"/>
          <w:szCs w:val="24"/>
        </w:rPr>
        <w:t xml:space="preserve">into this program’s administration </w:t>
      </w:r>
      <w:r w:rsidR="00412C52" w:rsidRPr="00B1350E">
        <w:rPr>
          <w:rFonts w:ascii="Arial" w:hAnsi="Arial" w:cs="Arial"/>
          <w:sz w:val="24"/>
          <w:szCs w:val="24"/>
        </w:rPr>
        <w:t>at the time of th</w:t>
      </w:r>
      <w:r w:rsidR="00E72378" w:rsidRPr="00B1350E">
        <w:rPr>
          <w:rFonts w:ascii="Arial" w:hAnsi="Arial" w:cs="Arial"/>
          <w:sz w:val="24"/>
          <w:szCs w:val="24"/>
        </w:rPr>
        <w:t>is</w:t>
      </w:r>
      <w:r w:rsidR="00412C52" w:rsidRPr="00B1350E">
        <w:rPr>
          <w:rFonts w:ascii="Arial" w:hAnsi="Arial" w:cs="Arial"/>
          <w:sz w:val="24"/>
          <w:szCs w:val="24"/>
        </w:rPr>
        <w:t xml:space="preserve"> writing)</w:t>
      </w:r>
      <w:r w:rsidRPr="00B1350E">
        <w:rPr>
          <w:rFonts w:ascii="Arial" w:hAnsi="Arial" w:cs="Arial"/>
          <w:sz w:val="24"/>
          <w:szCs w:val="24"/>
        </w:rPr>
        <w:t xml:space="preserve">.  </w:t>
      </w:r>
    </w:p>
    <w:p w:rsidR="00AF2903" w:rsidRDefault="00A0686A" w:rsidP="00A0686A">
      <w:pPr>
        <w:pStyle w:val="Body1"/>
        <w:spacing w:before="120" w:after="120" w:line="360" w:lineRule="auto"/>
        <w:rPr>
          <w:rFonts w:ascii="Arial" w:hAnsi="Arial" w:cs="Arial"/>
          <w:sz w:val="24"/>
          <w:szCs w:val="24"/>
        </w:rPr>
      </w:pPr>
      <w:r w:rsidRPr="00B1350E">
        <w:rPr>
          <w:rFonts w:ascii="Arial" w:hAnsi="Arial" w:cs="Arial"/>
          <w:sz w:val="24"/>
          <w:szCs w:val="24"/>
        </w:rPr>
        <w:t xml:space="preserve">Ultimately, as </w:t>
      </w:r>
      <w:r w:rsidR="000B48C9" w:rsidRPr="00B1350E">
        <w:rPr>
          <w:rFonts w:ascii="Arial" w:hAnsi="Arial" w:cs="Arial"/>
          <w:sz w:val="24"/>
          <w:szCs w:val="24"/>
        </w:rPr>
        <w:t>project-</w:t>
      </w:r>
      <w:r w:rsidRPr="00B1350E">
        <w:rPr>
          <w:rFonts w:ascii="Arial" w:hAnsi="Arial" w:cs="Arial"/>
          <w:sz w:val="24"/>
          <w:szCs w:val="24"/>
        </w:rPr>
        <w:t xml:space="preserve">level OBE using logic models </w:t>
      </w:r>
      <w:r w:rsidR="00E75CEE">
        <w:rPr>
          <w:rFonts w:ascii="Arial" w:hAnsi="Arial" w:cs="Arial"/>
          <w:sz w:val="24"/>
          <w:szCs w:val="24"/>
        </w:rPr>
        <w:t>was</w:t>
      </w:r>
      <w:r w:rsidRPr="00B1350E">
        <w:rPr>
          <w:rFonts w:ascii="Arial" w:hAnsi="Arial" w:cs="Arial"/>
          <w:sz w:val="24"/>
          <w:szCs w:val="24"/>
        </w:rPr>
        <w:t xml:space="preserve"> integrated into Grant</w:t>
      </w:r>
      <w:r w:rsidR="00E72378" w:rsidRPr="00B1350E">
        <w:rPr>
          <w:rFonts w:ascii="Arial" w:hAnsi="Arial" w:cs="Arial"/>
          <w:sz w:val="24"/>
          <w:szCs w:val="24"/>
        </w:rPr>
        <w:t>s</w:t>
      </w:r>
      <w:r w:rsidRPr="00B1350E">
        <w:rPr>
          <w:rFonts w:ascii="Arial" w:hAnsi="Arial" w:cs="Arial"/>
          <w:sz w:val="24"/>
          <w:szCs w:val="24"/>
        </w:rPr>
        <w:t xml:space="preserve"> to States program administration</w:t>
      </w:r>
      <w:r w:rsidR="00E75CEE">
        <w:rPr>
          <w:rFonts w:ascii="Arial" w:hAnsi="Arial" w:cs="Arial"/>
          <w:sz w:val="24"/>
          <w:szCs w:val="24"/>
        </w:rPr>
        <w:t>,</w:t>
      </w:r>
      <w:r w:rsidR="000B48C9" w:rsidRPr="00B1350E">
        <w:rPr>
          <w:rFonts w:ascii="Arial" w:hAnsi="Arial" w:cs="Arial"/>
          <w:sz w:val="24"/>
          <w:szCs w:val="24"/>
        </w:rPr>
        <w:t xml:space="preserve"> and pertinent new technical and administrative challenges emerged</w:t>
      </w:r>
      <w:r w:rsidRPr="00B1350E">
        <w:rPr>
          <w:rFonts w:ascii="Arial" w:hAnsi="Arial" w:cs="Arial"/>
          <w:sz w:val="24"/>
          <w:szCs w:val="24"/>
        </w:rPr>
        <w:t xml:space="preserve">, funds and resources moved away.  </w:t>
      </w:r>
      <w:r w:rsidR="000B48C9" w:rsidRPr="00B1350E">
        <w:rPr>
          <w:rFonts w:ascii="Arial" w:hAnsi="Arial" w:cs="Arial"/>
          <w:sz w:val="24"/>
          <w:szCs w:val="24"/>
        </w:rPr>
        <w:t>L</w:t>
      </w:r>
      <w:r w:rsidRPr="00B1350E">
        <w:rPr>
          <w:rFonts w:ascii="Arial" w:hAnsi="Arial" w:cs="Arial"/>
          <w:sz w:val="24"/>
          <w:szCs w:val="24"/>
        </w:rPr>
        <w:t>ittle was learned about how Grants to States translated into impact</w:t>
      </w:r>
      <w:r w:rsidR="00412C52" w:rsidRPr="00B1350E">
        <w:rPr>
          <w:rFonts w:ascii="Arial" w:hAnsi="Arial" w:cs="Arial"/>
          <w:sz w:val="24"/>
          <w:szCs w:val="24"/>
        </w:rPr>
        <w:t>s</w:t>
      </w:r>
      <w:r w:rsidRPr="00B1350E">
        <w:rPr>
          <w:rFonts w:ascii="Arial" w:hAnsi="Arial" w:cs="Arial"/>
          <w:sz w:val="24"/>
          <w:szCs w:val="24"/>
        </w:rPr>
        <w:t xml:space="preserve"> </w:t>
      </w:r>
      <w:r w:rsidR="000B48C9" w:rsidRPr="00B1350E">
        <w:rPr>
          <w:rFonts w:ascii="Arial" w:hAnsi="Arial" w:cs="Arial"/>
          <w:sz w:val="24"/>
          <w:szCs w:val="24"/>
        </w:rPr>
        <w:t xml:space="preserve">on </w:t>
      </w:r>
      <w:r w:rsidRPr="00B1350E">
        <w:rPr>
          <w:rFonts w:ascii="Arial" w:hAnsi="Arial" w:cs="Arial"/>
          <w:sz w:val="24"/>
          <w:szCs w:val="24"/>
        </w:rPr>
        <w:t>the public.</w:t>
      </w:r>
      <w:r w:rsidR="00101477">
        <w:rPr>
          <w:rFonts w:ascii="Arial" w:hAnsi="Arial" w:cs="Arial"/>
          <w:sz w:val="24"/>
          <w:szCs w:val="24"/>
        </w:rPr>
        <w:t xml:space="preserve">  </w:t>
      </w:r>
    </w:p>
    <w:p w:rsidR="00A0686A" w:rsidRPr="00B1350E" w:rsidRDefault="00101477" w:rsidP="00A0686A">
      <w:pPr>
        <w:pStyle w:val="Body1"/>
        <w:spacing w:before="120" w:after="120" w:line="360" w:lineRule="auto"/>
        <w:rPr>
          <w:rFonts w:ascii="Arial" w:hAnsi="Arial" w:cs="Arial"/>
          <w:sz w:val="24"/>
          <w:szCs w:val="24"/>
        </w:rPr>
      </w:pPr>
      <w:r>
        <w:rPr>
          <w:rFonts w:ascii="Arial" w:hAnsi="Arial" w:cs="Arial"/>
          <w:sz w:val="24"/>
          <w:szCs w:val="24"/>
        </w:rPr>
        <w:t xml:space="preserve">Despite these shortcomings, this era is noteworthy for </w:t>
      </w:r>
      <w:r w:rsidR="00536733">
        <w:rPr>
          <w:rFonts w:ascii="Arial" w:hAnsi="Arial" w:cs="Arial"/>
          <w:sz w:val="24"/>
          <w:szCs w:val="24"/>
        </w:rPr>
        <w:t>an</w:t>
      </w:r>
      <w:r>
        <w:rPr>
          <w:rFonts w:ascii="Arial" w:hAnsi="Arial" w:cs="Arial"/>
          <w:sz w:val="24"/>
          <w:szCs w:val="24"/>
        </w:rPr>
        <w:t xml:space="preserve"> unprecedented shift in the program culture with a deliberate linkage of planning with</w:t>
      </w:r>
      <w:r w:rsidR="00AD69F4">
        <w:rPr>
          <w:rFonts w:ascii="Arial" w:hAnsi="Arial" w:cs="Arial"/>
          <w:sz w:val="24"/>
          <w:szCs w:val="24"/>
        </w:rPr>
        <w:t xml:space="preserve"> evaluation under the rubric of OBE with logic models</w:t>
      </w:r>
      <w:r>
        <w:rPr>
          <w:rFonts w:ascii="Arial" w:hAnsi="Arial" w:cs="Arial"/>
          <w:sz w:val="24"/>
          <w:szCs w:val="24"/>
        </w:rPr>
        <w:t xml:space="preserve">.   This linkage is important as it had influenced responsibilities within each SLAA as well as between IMLS and SLAAs.  </w:t>
      </w:r>
      <w:r w:rsidR="009933B7">
        <w:rPr>
          <w:rFonts w:ascii="Arial" w:hAnsi="Arial" w:cs="Arial"/>
          <w:sz w:val="24"/>
          <w:szCs w:val="24"/>
        </w:rPr>
        <w:t xml:space="preserve">The adopted approach to </w:t>
      </w:r>
      <w:r>
        <w:rPr>
          <w:rFonts w:ascii="Arial" w:hAnsi="Arial" w:cs="Arial"/>
          <w:sz w:val="24"/>
          <w:szCs w:val="24"/>
        </w:rPr>
        <w:t xml:space="preserve">OBE, despite </w:t>
      </w:r>
      <w:r w:rsidR="009933B7">
        <w:rPr>
          <w:rFonts w:ascii="Arial" w:hAnsi="Arial" w:cs="Arial"/>
          <w:sz w:val="24"/>
          <w:szCs w:val="24"/>
        </w:rPr>
        <w:t>its</w:t>
      </w:r>
      <w:r>
        <w:rPr>
          <w:rFonts w:ascii="Arial" w:hAnsi="Arial" w:cs="Arial"/>
          <w:sz w:val="24"/>
          <w:szCs w:val="24"/>
        </w:rPr>
        <w:t xml:space="preserve"> imperfections</w:t>
      </w:r>
      <w:r w:rsidR="009933B7">
        <w:rPr>
          <w:rFonts w:ascii="Arial" w:hAnsi="Arial" w:cs="Arial"/>
          <w:sz w:val="24"/>
          <w:szCs w:val="24"/>
        </w:rPr>
        <w:t>,</w:t>
      </w:r>
      <w:r>
        <w:rPr>
          <w:rFonts w:ascii="Arial" w:hAnsi="Arial" w:cs="Arial"/>
          <w:sz w:val="24"/>
          <w:szCs w:val="24"/>
        </w:rPr>
        <w:t xml:space="preserve"> gained a strong foothold</w:t>
      </w:r>
      <w:r w:rsidR="009933B7">
        <w:rPr>
          <w:rFonts w:ascii="Arial" w:hAnsi="Arial" w:cs="Arial"/>
          <w:sz w:val="24"/>
          <w:szCs w:val="24"/>
        </w:rPr>
        <w:t xml:space="preserve"> in the Grants to States Program</w:t>
      </w:r>
      <w:r>
        <w:rPr>
          <w:rFonts w:ascii="Arial" w:hAnsi="Arial" w:cs="Arial"/>
          <w:sz w:val="24"/>
          <w:szCs w:val="24"/>
        </w:rPr>
        <w:t>.</w:t>
      </w:r>
    </w:p>
    <w:p w:rsidR="00A0686A" w:rsidRPr="00B1350E" w:rsidRDefault="00A0686A" w:rsidP="00E72378">
      <w:pPr>
        <w:pStyle w:val="Body1"/>
        <w:spacing w:line="360" w:lineRule="auto"/>
        <w:rPr>
          <w:rFonts w:ascii="Arial" w:hAnsi="Arial" w:cs="Arial"/>
          <w:sz w:val="24"/>
          <w:szCs w:val="24"/>
        </w:rPr>
      </w:pPr>
      <w:r w:rsidRPr="00B1350E">
        <w:rPr>
          <w:rFonts w:ascii="Arial" w:hAnsi="Arial" w:cs="Arial"/>
          <w:sz w:val="24"/>
          <w:szCs w:val="24"/>
        </w:rPr>
        <w:t xml:space="preserve">This legacy would shape the parameters for the </w:t>
      </w:r>
      <w:r w:rsidRPr="00B1350E">
        <w:rPr>
          <w:rFonts w:ascii="Arial" w:hAnsi="Arial" w:cs="Arial"/>
          <w:i/>
          <w:sz w:val="24"/>
          <w:szCs w:val="24"/>
        </w:rPr>
        <w:t>Measuring Success</w:t>
      </w:r>
      <w:r w:rsidRPr="00B1350E">
        <w:rPr>
          <w:rFonts w:ascii="Arial" w:hAnsi="Arial" w:cs="Arial"/>
          <w:sz w:val="24"/>
          <w:szCs w:val="24"/>
        </w:rPr>
        <w:t xml:space="preserve"> </w:t>
      </w:r>
      <w:r w:rsidR="000B48C9" w:rsidRPr="00B1350E">
        <w:rPr>
          <w:rFonts w:ascii="Arial" w:hAnsi="Arial" w:cs="Arial"/>
          <w:sz w:val="24"/>
          <w:szCs w:val="24"/>
        </w:rPr>
        <w:t>i</w:t>
      </w:r>
      <w:r w:rsidRPr="00B1350E">
        <w:rPr>
          <w:rFonts w:ascii="Arial" w:hAnsi="Arial" w:cs="Arial"/>
          <w:sz w:val="24"/>
          <w:szCs w:val="24"/>
        </w:rPr>
        <w:t>nitiative</w:t>
      </w:r>
      <w:r w:rsidR="00E72378" w:rsidRPr="00B1350E">
        <w:rPr>
          <w:rFonts w:ascii="Arial" w:hAnsi="Arial" w:cs="Arial"/>
          <w:sz w:val="24"/>
          <w:szCs w:val="24"/>
        </w:rPr>
        <w:t xml:space="preserve">, </w:t>
      </w:r>
      <w:r w:rsidRPr="00B1350E">
        <w:rPr>
          <w:rFonts w:ascii="Arial" w:hAnsi="Arial" w:cs="Arial"/>
          <w:sz w:val="24"/>
          <w:szCs w:val="24"/>
        </w:rPr>
        <w:t>the focus of the next section.</w:t>
      </w:r>
    </w:p>
    <w:p w:rsidR="00517B2A" w:rsidRPr="00AD69F4" w:rsidRDefault="00D165B9" w:rsidP="008D59F8">
      <w:pPr>
        <w:pStyle w:val="Body1"/>
        <w:spacing w:before="120" w:after="120" w:line="360" w:lineRule="auto"/>
        <w:rPr>
          <w:rFonts w:ascii="Arial" w:hAnsi="Arial" w:cs="Arial"/>
          <w:b/>
          <w:sz w:val="28"/>
          <w:szCs w:val="28"/>
        </w:rPr>
      </w:pPr>
      <w:r w:rsidRPr="00AD69F4">
        <w:rPr>
          <w:rFonts w:ascii="Arial" w:hAnsi="Arial" w:cs="Arial"/>
          <w:b/>
          <w:sz w:val="28"/>
          <w:szCs w:val="28"/>
        </w:rPr>
        <w:t>Impetus</w:t>
      </w:r>
      <w:r w:rsidR="00BB26F8" w:rsidRPr="00AD69F4">
        <w:rPr>
          <w:rFonts w:ascii="Arial" w:hAnsi="Arial" w:cs="Arial"/>
          <w:b/>
          <w:sz w:val="28"/>
          <w:szCs w:val="28"/>
        </w:rPr>
        <w:t xml:space="preserve"> for </w:t>
      </w:r>
      <w:r w:rsidR="00B65BC7" w:rsidRPr="00AD69F4">
        <w:rPr>
          <w:rFonts w:ascii="Arial" w:hAnsi="Arial" w:cs="Arial"/>
          <w:b/>
          <w:sz w:val="28"/>
          <w:szCs w:val="28"/>
        </w:rPr>
        <w:t xml:space="preserve">the </w:t>
      </w:r>
      <w:r w:rsidR="00B65BC7" w:rsidRPr="00AD69F4">
        <w:rPr>
          <w:rFonts w:ascii="Arial" w:hAnsi="Arial" w:cs="Arial"/>
          <w:b/>
          <w:i/>
          <w:sz w:val="28"/>
          <w:szCs w:val="28"/>
        </w:rPr>
        <w:t>Measuring Success</w:t>
      </w:r>
      <w:r w:rsidR="00B65BC7" w:rsidRPr="00AD69F4">
        <w:rPr>
          <w:rFonts w:ascii="Arial" w:hAnsi="Arial" w:cs="Arial"/>
          <w:b/>
          <w:sz w:val="28"/>
          <w:szCs w:val="28"/>
        </w:rPr>
        <w:t xml:space="preserve"> </w:t>
      </w:r>
      <w:r w:rsidR="00E72378" w:rsidRPr="00AD69F4">
        <w:rPr>
          <w:rFonts w:ascii="Arial" w:hAnsi="Arial" w:cs="Arial"/>
          <w:b/>
          <w:sz w:val="28"/>
          <w:szCs w:val="28"/>
        </w:rPr>
        <w:t>I</w:t>
      </w:r>
      <w:r w:rsidR="009F5C4D" w:rsidRPr="00AD69F4">
        <w:rPr>
          <w:rFonts w:ascii="Arial" w:hAnsi="Arial" w:cs="Arial"/>
          <w:b/>
          <w:sz w:val="28"/>
          <w:szCs w:val="28"/>
        </w:rPr>
        <w:t xml:space="preserve">nitiative </w:t>
      </w:r>
    </w:p>
    <w:p w:rsidR="00C33F90" w:rsidRPr="00B1350E" w:rsidRDefault="00313A4F" w:rsidP="008D59F8">
      <w:pPr>
        <w:pStyle w:val="Body1"/>
        <w:spacing w:before="120" w:after="120" w:line="360" w:lineRule="auto"/>
        <w:rPr>
          <w:rFonts w:ascii="Arial" w:hAnsi="Arial" w:cs="Arial"/>
          <w:sz w:val="24"/>
          <w:szCs w:val="24"/>
        </w:rPr>
      </w:pPr>
      <w:r w:rsidRPr="00B1350E">
        <w:rPr>
          <w:rFonts w:ascii="Arial" w:hAnsi="Arial" w:cs="Arial"/>
          <w:sz w:val="24"/>
          <w:szCs w:val="24"/>
        </w:rPr>
        <w:t xml:space="preserve">By 2010, </w:t>
      </w:r>
      <w:r w:rsidR="000909D1" w:rsidRPr="00B1350E">
        <w:rPr>
          <w:rFonts w:ascii="Arial" w:hAnsi="Arial" w:cs="Arial"/>
          <w:sz w:val="24"/>
          <w:szCs w:val="24"/>
        </w:rPr>
        <w:t>t</w:t>
      </w:r>
      <w:r w:rsidR="00D33B47" w:rsidRPr="00B1350E">
        <w:rPr>
          <w:rFonts w:ascii="Arial" w:hAnsi="Arial" w:cs="Arial"/>
          <w:sz w:val="24"/>
          <w:szCs w:val="24"/>
        </w:rPr>
        <w:t xml:space="preserve">he political calculus across </w:t>
      </w:r>
      <w:r w:rsidR="00146083" w:rsidRPr="00B1350E">
        <w:rPr>
          <w:rFonts w:ascii="Arial" w:hAnsi="Arial" w:cs="Arial"/>
          <w:sz w:val="24"/>
          <w:szCs w:val="24"/>
        </w:rPr>
        <w:t xml:space="preserve">all levels of government </w:t>
      </w:r>
      <w:r w:rsidR="00D33B47" w:rsidRPr="00B1350E">
        <w:rPr>
          <w:rFonts w:ascii="Arial" w:hAnsi="Arial" w:cs="Arial"/>
          <w:sz w:val="24"/>
          <w:szCs w:val="24"/>
        </w:rPr>
        <w:t xml:space="preserve">had changed fundamentally.  It </w:t>
      </w:r>
      <w:r w:rsidR="009F5C4D" w:rsidRPr="00B1350E">
        <w:rPr>
          <w:rFonts w:ascii="Arial" w:hAnsi="Arial" w:cs="Arial"/>
          <w:sz w:val="24"/>
          <w:szCs w:val="24"/>
        </w:rPr>
        <w:t xml:space="preserve">became and remains </w:t>
      </w:r>
      <w:r w:rsidR="00874A28" w:rsidRPr="00B1350E">
        <w:rPr>
          <w:rFonts w:ascii="Arial" w:hAnsi="Arial" w:cs="Arial"/>
          <w:sz w:val="24"/>
          <w:szCs w:val="24"/>
        </w:rPr>
        <w:t xml:space="preserve">politically risky </w:t>
      </w:r>
      <w:r w:rsidR="00E75CEE" w:rsidRPr="00B1350E">
        <w:rPr>
          <w:rFonts w:ascii="Arial" w:hAnsi="Arial" w:cs="Arial"/>
          <w:sz w:val="24"/>
          <w:szCs w:val="24"/>
        </w:rPr>
        <w:t xml:space="preserve">to </w:t>
      </w:r>
      <w:r w:rsidR="002F425B">
        <w:rPr>
          <w:rFonts w:ascii="Arial" w:hAnsi="Arial" w:cs="Arial"/>
          <w:sz w:val="24"/>
          <w:szCs w:val="24"/>
        </w:rPr>
        <w:t xml:space="preserve">rely </w:t>
      </w:r>
      <w:r w:rsidR="002F425B" w:rsidRPr="002F425B">
        <w:rPr>
          <w:rFonts w:ascii="Arial" w:hAnsi="Arial" w:cs="Arial"/>
          <w:sz w:val="24"/>
          <w:szCs w:val="24"/>
        </w:rPr>
        <w:t xml:space="preserve">primarily on </w:t>
      </w:r>
      <w:r w:rsidR="00E75CEE" w:rsidRPr="002F425B">
        <w:rPr>
          <w:rFonts w:ascii="Arial" w:hAnsi="Arial" w:cs="Arial"/>
          <w:sz w:val="24"/>
          <w:szCs w:val="24"/>
        </w:rPr>
        <w:t>articula</w:t>
      </w:r>
      <w:r w:rsidR="002F425B" w:rsidRPr="002F425B">
        <w:rPr>
          <w:rFonts w:ascii="Arial" w:hAnsi="Arial" w:cs="Arial"/>
          <w:sz w:val="24"/>
          <w:szCs w:val="24"/>
        </w:rPr>
        <w:t>ting the belief that fo</w:t>
      </w:r>
      <w:r w:rsidR="00D33B47" w:rsidRPr="002F425B">
        <w:rPr>
          <w:rFonts w:ascii="Arial" w:hAnsi="Arial" w:cs="Arial"/>
          <w:sz w:val="24"/>
          <w:szCs w:val="24"/>
        </w:rPr>
        <w:t xml:space="preserve">stering strong libraries </w:t>
      </w:r>
      <w:r w:rsidR="00E75CEE" w:rsidRPr="002F425B">
        <w:rPr>
          <w:rFonts w:ascii="Arial" w:hAnsi="Arial" w:cs="Arial"/>
          <w:sz w:val="24"/>
          <w:szCs w:val="24"/>
        </w:rPr>
        <w:t>nurtures</w:t>
      </w:r>
      <w:r w:rsidR="00D33B47" w:rsidRPr="002F425B">
        <w:rPr>
          <w:rFonts w:ascii="Arial" w:hAnsi="Arial" w:cs="Arial"/>
          <w:sz w:val="24"/>
          <w:szCs w:val="24"/>
        </w:rPr>
        <w:t xml:space="preserve"> a vibrant democracy</w:t>
      </w:r>
      <w:r w:rsidR="00412C52" w:rsidRPr="002F425B">
        <w:rPr>
          <w:rFonts w:ascii="Arial" w:hAnsi="Arial" w:cs="Arial"/>
          <w:sz w:val="24"/>
          <w:szCs w:val="24"/>
        </w:rPr>
        <w:t xml:space="preserve"> </w:t>
      </w:r>
      <w:r w:rsidR="00282B88">
        <w:rPr>
          <w:rFonts w:ascii="Arial" w:hAnsi="Arial" w:cs="Arial"/>
          <w:sz w:val="24"/>
          <w:szCs w:val="24"/>
        </w:rPr>
        <w:t>as an argument for</w:t>
      </w:r>
      <w:r w:rsidR="002F425B" w:rsidRPr="002F425B">
        <w:rPr>
          <w:rFonts w:ascii="Arial" w:hAnsi="Arial" w:cs="Arial"/>
          <w:sz w:val="24"/>
          <w:szCs w:val="24"/>
        </w:rPr>
        <w:t xml:space="preserve"> sustaining</w:t>
      </w:r>
      <w:r w:rsidR="00412C52" w:rsidRPr="002F425B">
        <w:rPr>
          <w:rFonts w:ascii="Arial" w:hAnsi="Arial" w:cs="Arial"/>
          <w:sz w:val="24"/>
          <w:szCs w:val="24"/>
        </w:rPr>
        <w:t xml:space="preserve"> and exp</w:t>
      </w:r>
      <w:r w:rsidR="002F425B" w:rsidRPr="002F425B">
        <w:rPr>
          <w:rFonts w:ascii="Arial" w:hAnsi="Arial" w:cs="Arial"/>
          <w:sz w:val="24"/>
          <w:szCs w:val="24"/>
        </w:rPr>
        <w:t>a</w:t>
      </w:r>
      <w:r w:rsidR="00412C52" w:rsidRPr="002F425B">
        <w:rPr>
          <w:rFonts w:ascii="Arial" w:hAnsi="Arial" w:cs="Arial"/>
          <w:sz w:val="24"/>
          <w:szCs w:val="24"/>
        </w:rPr>
        <w:t>nd</w:t>
      </w:r>
      <w:r w:rsidR="002F425B" w:rsidRPr="002F425B">
        <w:rPr>
          <w:rFonts w:ascii="Arial" w:hAnsi="Arial" w:cs="Arial"/>
          <w:sz w:val="24"/>
          <w:szCs w:val="24"/>
        </w:rPr>
        <w:t>ing</w:t>
      </w:r>
      <w:r w:rsidR="00412C52" w:rsidRPr="002F425B">
        <w:rPr>
          <w:rFonts w:ascii="Arial" w:hAnsi="Arial" w:cs="Arial"/>
          <w:sz w:val="24"/>
          <w:szCs w:val="24"/>
        </w:rPr>
        <w:t xml:space="preserve"> funding in this area</w:t>
      </w:r>
      <w:r w:rsidR="00D33B47" w:rsidRPr="002F425B">
        <w:rPr>
          <w:rFonts w:ascii="Arial" w:hAnsi="Arial" w:cs="Arial"/>
          <w:sz w:val="24"/>
          <w:szCs w:val="24"/>
        </w:rPr>
        <w:t xml:space="preserve">.  It </w:t>
      </w:r>
      <w:r w:rsidR="009F5C4D" w:rsidRPr="002F425B">
        <w:rPr>
          <w:rFonts w:ascii="Arial" w:hAnsi="Arial" w:cs="Arial"/>
          <w:sz w:val="24"/>
          <w:szCs w:val="24"/>
        </w:rPr>
        <w:t xml:space="preserve">has become </w:t>
      </w:r>
      <w:r w:rsidR="00D33B47" w:rsidRPr="002F425B">
        <w:rPr>
          <w:rFonts w:ascii="Arial" w:hAnsi="Arial" w:cs="Arial"/>
          <w:sz w:val="24"/>
          <w:szCs w:val="24"/>
        </w:rPr>
        <w:t>imperative</w:t>
      </w:r>
      <w:r w:rsidR="00D33B47" w:rsidRPr="00B1350E">
        <w:rPr>
          <w:rFonts w:ascii="Arial" w:hAnsi="Arial" w:cs="Arial"/>
          <w:sz w:val="24"/>
          <w:szCs w:val="24"/>
        </w:rPr>
        <w:t xml:space="preserve"> to </w:t>
      </w:r>
      <w:r w:rsidR="00C87909" w:rsidRPr="00B1350E">
        <w:rPr>
          <w:rFonts w:ascii="Arial" w:hAnsi="Arial" w:cs="Arial"/>
          <w:sz w:val="24"/>
          <w:szCs w:val="24"/>
        </w:rPr>
        <w:t xml:space="preserve">move beyond this narrative by </w:t>
      </w:r>
      <w:r w:rsidR="00282B88">
        <w:rPr>
          <w:rFonts w:ascii="Arial" w:hAnsi="Arial" w:cs="Arial"/>
          <w:sz w:val="24"/>
          <w:szCs w:val="24"/>
        </w:rPr>
        <w:t xml:space="preserve">much better ability to </w:t>
      </w:r>
      <w:r w:rsidR="00DB1368" w:rsidRPr="00B1350E">
        <w:rPr>
          <w:rFonts w:ascii="Arial" w:hAnsi="Arial" w:cs="Arial"/>
          <w:sz w:val="24"/>
          <w:szCs w:val="24"/>
        </w:rPr>
        <w:t>demonstrat</w:t>
      </w:r>
      <w:r w:rsidR="00282B88">
        <w:rPr>
          <w:rFonts w:ascii="Arial" w:hAnsi="Arial" w:cs="Arial"/>
          <w:sz w:val="24"/>
          <w:szCs w:val="24"/>
        </w:rPr>
        <w:t>e</w:t>
      </w:r>
      <w:r w:rsidR="00D33B47" w:rsidRPr="00B1350E">
        <w:rPr>
          <w:rFonts w:ascii="Arial" w:hAnsi="Arial" w:cs="Arial"/>
          <w:sz w:val="24"/>
          <w:szCs w:val="24"/>
        </w:rPr>
        <w:t xml:space="preserve"> </w:t>
      </w:r>
      <w:r w:rsidR="007C46DD" w:rsidRPr="002F425B">
        <w:rPr>
          <w:rFonts w:ascii="Arial" w:hAnsi="Arial" w:cs="Arial"/>
          <w:i/>
          <w:sz w:val="24"/>
          <w:szCs w:val="24"/>
        </w:rPr>
        <w:t>how</w:t>
      </w:r>
      <w:r w:rsidR="007C46DD" w:rsidRPr="00B1350E">
        <w:rPr>
          <w:rFonts w:ascii="Arial" w:hAnsi="Arial" w:cs="Arial"/>
          <w:sz w:val="24"/>
          <w:szCs w:val="24"/>
        </w:rPr>
        <w:t xml:space="preserve"> </w:t>
      </w:r>
      <w:r w:rsidR="000234DD">
        <w:rPr>
          <w:rFonts w:ascii="Arial" w:hAnsi="Arial" w:cs="Arial"/>
          <w:sz w:val="24"/>
          <w:szCs w:val="24"/>
        </w:rPr>
        <w:t>public</w:t>
      </w:r>
      <w:r w:rsidR="008E38C4" w:rsidRPr="00B1350E">
        <w:rPr>
          <w:rFonts w:ascii="Arial" w:hAnsi="Arial" w:cs="Arial"/>
          <w:sz w:val="24"/>
          <w:szCs w:val="24"/>
        </w:rPr>
        <w:t xml:space="preserve"> investment</w:t>
      </w:r>
      <w:r w:rsidR="009F5C4D" w:rsidRPr="00B1350E">
        <w:rPr>
          <w:rFonts w:ascii="Arial" w:hAnsi="Arial" w:cs="Arial"/>
          <w:sz w:val="24"/>
          <w:szCs w:val="24"/>
        </w:rPr>
        <w:t>s</w:t>
      </w:r>
      <w:r w:rsidR="00D33B47" w:rsidRPr="00B1350E">
        <w:rPr>
          <w:rFonts w:ascii="Arial" w:hAnsi="Arial" w:cs="Arial"/>
          <w:sz w:val="24"/>
          <w:szCs w:val="24"/>
        </w:rPr>
        <w:t xml:space="preserve"> </w:t>
      </w:r>
      <w:r w:rsidR="000234DD">
        <w:rPr>
          <w:rFonts w:ascii="Arial" w:hAnsi="Arial" w:cs="Arial"/>
          <w:sz w:val="24"/>
          <w:szCs w:val="24"/>
        </w:rPr>
        <w:t>in</w:t>
      </w:r>
      <w:r w:rsidR="00D33B47" w:rsidRPr="00B1350E">
        <w:rPr>
          <w:rFonts w:ascii="Arial" w:hAnsi="Arial" w:cs="Arial"/>
          <w:sz w:val="24"/>
          <w:szCs w:val="24"/>
        </w:rPr>
        <w:t xml:space="preserve"> library </w:t>
      </w:r>
      <w:r w:rsidR="006651B7" w:rsidRPr="00B1350E">
        <w:rPr>
          <w:rFonts w:ascii="Arial" w:hAnsi="Arial" w:cs="Arial"/>
          <w:sz w:val="24"/>
          <w:szCs w:val="24"/>
        </w:rPr>
        <w:t>services</w:t>
      </w:r>
      <w:r w:rsidR="00D33B47" w:rsidRPr="00B1350E">
        <w:rPr>
          <w:rFonts w:ascii="Arial" w:hAnsi="Arial" w:cs="Arial"/>
          <w:sz w:val="24"/>
          <w:szCs w:val="24"/>
        </w:rPr>
        <w:t xml:space="preserve"> </w:t>
      </w:r>
      <w:r w:rsidR="000234DD">
        <w:rPr>
          <w:rFonts w:ascii="Arial" w:hAnsi="Arial" w:cs="Arial"/>
          <w:sz w:val="24"/>
          <w:szCs w:val="24"/>
        </w:rPr>
        <w:t>result in</w:t>
      </w:r>
      <w:r w:rsidR="00D33B47" w:rsidRPr="00B1350E">
        <w:rPr>
          <w:rFonts w:ascii="Arial" w:hAnsi="Arial" w:cs="Arial"/>
          <w:sz w:val="24"/>
          <w:szCs w:val="24"/>
        </w:rPr>
        <w:t xml:space="preserve"> </w:t>
      </w:r>
      <w:r w:rsidR="008E38C4" w:rsidRPr="00B1350E">
        <w:rPr>
          <w:rFonts w:ascii="Arial" w:hAnsi="Arial" w:cs="Arial"/>
          <w:sz w:val="24"/>
          <w:szCs w:val="24"/>
        </w:rPr>
        <w:t xml:space="preserve">concrete </w:t>
      </w:r>
      <w:r w:rsidR="00D33B47" w:rsidRPr="00B1350E">
        <w:rPr>
          <w:rFonts w:ascii="Arial" w:hAnsi="Arial" w:cs="Arial"/>
          <w:sz w:val="24"/>
          <w:szCs w:val="24"/>
        </w:rPr>
        <w:t xml:space="preserve">benefits to the public.  </w:t>
      </w:r>
      <w:r w:rsidR="002F425B">
        <w:rPr>
          <w:rFonts w:ascii="Arial" w:hAnsi="Arial" w:cs="Arial"/>
          <w:sz w:val="24"/>
          <w:szCs w:val="24"/>
        </w:rPr>
        <w:t>In fact, while o</w:t>
      </w:r>
      <w:r w:rsidR="00D33B47" w:rsidRPr="00B1350E">
        <w:rPr>
          <w:rFonts w:ascii="Arial" w:hAnsi="Arial" w:cs="Arial"/>
          <w:sz w:val="24"/>
          <w:szCs w:val="24"/>
        </w:rPr>
        <w:t xml:space="preserve">verall demand for </w:t>
      </w:r>
      <w:r w:rsidR="00D33B47" w:rsidRPr="00B1350E">
        <w:rPr>
          <w:rFonts w:ascii="Arial" w:hAnsi="Arial" w:cs="Arial"/>
          <w:sz w:val="24"/>
          <w:szCs w:val="24"/>
        </w:rPr>
        <w:lastRenderedPageBreak/>
        <w:t xml:space="preserve">library services </w:t>
      </w:r>
      <w:r w:rsidR="007C46DD" w:rsidRPr="00B1350E">
        <w:rPr>
          <w:rFonts w:ascii="Arial" w:hAnsi="Arial" w:cs="Arial"/>
          <w:sz w:val="24"/>
          <w:szCs w:val="24"/>
        </w:rPr>
        <w:t xml:space="preserve">has </w:t>
      </w:r>
      <w:r w:rsidR="00D33B47" w:rsidRPr="00B1350E">
        <w:rPr>
          <w:rFonts w:ascii="Arial" w:hAnsi="Arial" w:cs="Arial"/>
          <w:sz w:val="24"/>
          <w:szCs w:val="24"/>
        </w:rPr>
        <w:t>continued to increase</w:t>
      </w:r>
      <w:r w:rsidR="00AF2903">
        <w:rPr>
          <w:rFonts w:ascii="Arial" w:hAnsi="Arial" w:cs="Arial"/>
          <w:sz w:val="24"/>
          <w:szCs w:val="24"/>
        </w:rPr>
        <w:t>,</w:t>
      </w:r>
      <w:r w:rsidR="001F7257">
        <w:rPr>
          <w:rFonts w:ascii="Arial" w:hAnsi="Arial" w:cs="Arial"/>
          <w:sz w:val="24"/>
          <w:szCs w:val="24"/>
        </w:rPr>
        <w:t xml:space="preserve"> aggregate</w:t>
      </w:r>
      <w:r w:rsidR="000234DD">
        <w:rPr>
          <w:rFonts w:ascii="Arial" w:hAnsi="Arial" w:cs="Arial"/>
          <w:sz w:val="24"/>
          <w:szCs w:val="24"/>
        </w:rPr>
        <w:t xml:space="preserve"> </w:t>
      </w:r>
      <w:r w:rsidR="00B86939" w:rsidRPr="00B1350E">
        <w:rPr>
          <w:rFonts w:ascii="Arial" w:hAnsi="Arial" w:cs="Arial"/>
          <w:sz w:val="24"/>
          <w:szCs w:val="24"/>
        </w:rPr>
        <w:t xml:space="preserve">state </w:t>
      </w:r>
      <w:r w:rsidR="00D33B47" w:rsidRPr="00B1350E">
        <w:rPr>
          <w:rFonts w:ascii="Arial" w:hAnsi="Arial" w:cs="Arial"/>
          <w:sz w:val="24"/>
          <w:szCs w:val="24"/>
        </w:rPr>
        <w:t xml:space="preserve">funding for library services </w:t>
      </w:r>
      <w:r w:rsidR="007C46DD" w:rsidRPr="00B1350E">
        <w:rPr>
          <w:rFonts w:ascii="Arial" w:hAnsi="Arial" w:cs="Arial"/>
          <w:sz w:val="24"/>
          <w:szCs w:val="24"/>
        </w:rPr>
        <w:t xml:space="preserve">has </w:t>
      </w:r>
      <w:r w:rsidR="008E38C4" w:rsidRPr="00B1350E">
        <w:rPr>
          <w:rFonts w:ascii="Arial" w:hAnsi="Arial" w:cs="Arial"/>
          <w:sz w:val="24"/>
          <w:szCs w:val="24"/>
        </w:rPr>
        <w:t>shrunk</w:t>
      </w:r>
      <w:r w:rsidR="00C33F90" w:rsidRPr="00B1350E">
        <w:rPr>
          <w:rFonts w:ascii="Arial" w:hAnsi="Arial" w:cs="Arial"/>
          <w:sz w:val="24"/>
          <w:szCs w:val="24"/>
        </w:rPr>
        <w:t xml:space="preserve"> </w:t>
      </w:r>
      <w:r w:rsidR="00B86939" w:rsidRPr="00B1350E">
        <w:rPr>
          <w:rFonts w:ascii="Arial" w:hAnsi="Arial" w:cs="Arial"/>
          <w:sz w:val="24"/>
          <w:szCs w:val="24"/>
        </w:rPr>
        <w:t>(Institute for Museum and Library Services, 2011)</w:t>
      </w:r>
      <w:r w:rsidR="00C33F90" w:rsidRPr="00B1350E">
        <w:rPr>
          <w:rFonts w:ascii="Arial" w:hAnsi="Arial" w:cs="Arial"/>
          <w:sz w:val="24"/>
          <w:szCs w:val="24"/>
        </w:rPr>
        <w:t xml:space="preserve">.  </w:t>
      </w:r>
    </w:p>
    <w:p w:rsidR="00C33F90" w:rsidRPr="00B1350E" w:rsidRDefault="002F425B" w:rsidP="008D59F8">
      <w:pPr>
        <w:pStyle w:val="Body1"/>
        <w:spacing w:before="120" w:after="120" w:line="360" w:lineRule="auto"/>
        <w:rPr>
          <w:rFonts w:ascii="Arial" w:hAnsi="Arial" w:cs="Arial"/>
          <w:sz w:val="24"/>
          <w:szCs w:val="24"/>
        </w:rPr>
      </w:pPr>
      <w:r>
        <w:rPr>
          <w:rFonts w:ascii="Arial" w:hAnsi="Arial" w:cs="Arial"/>
          <w:sz w:val="24"/>
          <w:szCs w:val="24"/>
        </w:rPr>
        <w:t>In alignment with the p</w:t>
      </w:r>
      <w:r w:rsidR="00C33F90" w:rsidRPr="00B1350E">
        <w:rPr>
          <w:rFonts w:ascii="Arial" w:hAnsi="Arial" w:cs="Arial"/>
          <w:sz w:val="24"/>
          <w:szCs w:val="24"/>
        </w:rPr>
        <w:t xml:space="preserve">olitical </w:t>
      </w:r>
      <w:r w:rsidR="007C46DD" w:rsidRPr="00B1350E">
        <w:rPr>
          <w:rFonts w:ascii="Arial" w:hAnsi="Arial" w:cs="Arial"/>
          <w:sz w:val="24"/>
          <w:szCs w:val="24"/>
        </w:rPr>
        <w:t xml:space="preserve">realities </w:t>
      </w:r>
      <w:r>
        <w:rPr>
          <w:rFonts w:ascii="Arial" w:hAnsi="Arial" w:cs="Arial"/>
          <w:sz w:val="24"/>
          <w:szCs w:val="24"/>
        </w:rPr>
        <w:t>that spur the</w:t>
      </w:r>
      <w:r w:rsidR="00313A4F" w:rsidRPr="00B1350E">
        <w:rPr>
          <w:rFonts w:ascii="Arial" w:hAnsi="Arial" w:cs="Arial"/>
          <w:sz w:val="24"/>
          <w:szCs w:val="24"/>
        </w:rPr>
        <w:t xml:space="preserve"> </w:t>
      </w:r>
      <w:r w:rsidR="00C33F90" w:rsidRPr="00B1350E">
        <w:rPr>
          <w:rFonts w:ascii="Arial" w:hAnsi="Arial" w:cs="Arial"/>
          <w:sz w:val="24"/>
          <w:szCs w:val="24"/>
        </w:rPr>
        <w:t>n</w:t>
      </w:r>
      <w:r w:rsidR="00313A4F" w:rsidRPr="00B1350E">
        <w:rPr>
          <w:rFonts w:ascii="Arial" w:hAnsi="Arial" w:cs="Arial"/>
          <w:sz w:val="24"/>
          <w:szCs w:val="24"/>
        </w:rPr>
        <w:t>ew</w:t>
      </w:r>
      <w:r w:rsidR="00C33F90" w:rsidRPr="00B1350E">
        <w:rPr>
          <w:rFonts w:ascii="Arial" w:hAnsi="Arial" w:cs="Arial"/>
          <w:sz w:val="24"/>
          <w:szCs w:val="24"/>
        </w:rPr>
        <w:t xml:space="preserve"> urgency to </w:t>
      </w:r>
      <w:r w:rsidR="007C46DD" w:rsidRPr="00B1350E">
        <w:rPr>
          <w:rFonts w:ascii="Arial" w:hAnsi="Arial" w:cs="Arial"/>
          <w:sz w:val="24"/>
          <w:szCs w:val="24"/>
        </w:rPr>
        <w:t xml:space="preserve">increase </w:t>
      </w:r>
      <w:r w:rsidR="00DB1368" w:rsidRPr="00B1350E">
        <w:rPr>
          <w:rFonts w:ascii="Arial" w:hAnsi="Arial" w:cs="Arial"/>
          <w:sz w:val="24"/>
          <w:szCs w:val="24"/>
        </w:rPr>
        <w:t xml:space="preserve">the </w:t>
      </w:r>
      <w:r w:rsidR="00C33F90" w:rsidRPr="00B1350E">
        <w:rPr>
          <w:rFonts w:ascii="Arial" w:hAnsi="Arial" w:cs="Arial"/>
          <w:sz w:val="24"/>
          <w:szCs w:val="24"/>
        </w:rPr>
        <w:t>evaluative capabilities in Grants to States</w:t>
      </w:r>
      <w:r>
        <w:rPr>
          <w:rFonts w:ascii="Arial" w:hAnsi="Arial" w:cs="Arial"/>
          <w:sz w:val="24"/>
          <w:szCs w:val="24"/>
        </w:rPr>
        <w:t>, n</w:t>
      </w:r>
      <w:r w:rsidR="00313A4F" w:rsidRPr="00B1350E">
        <w:rPr>
          <w:rFonts w:ascii="Arial" w:hAnsi="Arial" w:cs="Arial"/>
          <w:sz w:val="24"/>
          <w:szCs w:val="24"/>
        </w:rPr>
        <w:t xml:space="preserve">ew IMLS leadership </w:t>
      </w:r>
      <w:r w:rsidR="008E1796" w:rsidRPr="00B1350E">
        <w:rPr>
          <w:rFonts w:ascii="Arial" w:hAnsi="Arial" w:cs="Arial"/>
          <w:sz w:val="24"/>
          <w:szCs w:val="24"/>
        </w:rPr>
        <w:t>created an Office of Planning, Research, and Evaluation (</w:t>
      </w:r>
      <w:r w:rsidR="004B764F" w:rsidRPr="00B1350E">
        <w:rPr>
          <w:rFonts w:ascii="Arial" w:hAnsi="Arial" w:cs="Arial"/>
          <w:sz w:val="24"/>
          <w:szCs w:val="24"/>
        </w:rPr>
        <w:t>OPRE)</w:t>
      </w:r>
      <w:r w:rsidR="000234DD">
        <w:rPr>
          <w:rFonts w:ascii="Arial" w:hAnsi="Arial" w:cs="Arial"/>
          <w:sz w:val="24"/>
          <w:szCs w:val="24"/>
        </w:rPr>
        <w:t xml:space="preserve">. In addition to overseeing the agency’s new statistical research program, this office is charged with </w:t>
      </w:r>
      <w:r w:rsidR="00AB08E1">
        <w:rPr>
          <w:rFonts w:ascii="Arial" w:hAnsi="Arial" w:cs="Arial"/>
          <w:sz w:val="24"/>
          <w:szCs w:val="24"/>
        </w:rPr>
        <w:t>oversight</w:t>
      </w:r>
      <w:r w:rsidR="000234DD">
        <w:rPr>
          <w:rFonts w:ascii="Arial" w:hAnsi="Arial" w:cs="Arial"/>
          <w:sz w:val="24"/>
          <w:szCs w:val="24"/>
        </w:rPr>
        <w:t xml:space="preserve"> and reporting on IMLS programmatic performance.  To help meet these </w:t>
      </w:r>
      <w:r w:rsidR="00AB08E1">
        <w:rPr>
          <w:rFonts w:ascii="Arial" w:hAnsi="Arial" w:cs="Arial"/>
          <w:sz w:val="24"/>
          <w:szCs w:val="24"/>
        </w:rPr>
        <w:t>demands</w:t>
      </w:r>
      <w:r w:rsidR="000234DD">
        <w:rPr>
          <w:rFonts w:ascii="Arial" w:hAnsi="Arial" w:cs="Arial"/>
          <w:sz w:val="24"/>
          <w:szCs w:val="24"/>
        </w:rPr>
        <w:t xml:space="preserve">, new research and evaluation staff were hired, including </w:t>
      </w:r>
      <w:r w:rsidR="00313A4F" w:rsidRPr="00B1350E">
        <w:rPr>
          <w:rFonts w:ascii="Arial" w:hAnsi="Arial" w:cs="Arial"/>
          <w:sz w:val="24"/>
          <w:szCs w:val="24"/>
        </w:rPr>
        <w:t xml:space="preserve">a </w:t>
      </w:r>
      <w:r w:rsidR="00AB08E1">
        <w:rPr>
          <w:rFonts w:ascii="Arial" w:hAnsi="Arial" w:cs="Arial"/>
          <w:sz w:val="24"/>
          <w:szCs w:val="24"/>
        </w:rPr>
        <w:t>senior evaluation</w:t>
      </w:r>
      <w:r w:rsidR="00313A4F" w:rsidRPr="00B1350E">
        <w:rPr>
          <w:rFonts w:ascii="Arial" w:hAnsi="Arial" w:cs="Arial"/>
          <w:sz w:val="24"/>
          <w:szCs w:val="24"/>
        </w:rPr>
        <w:t xml:space="preserve"> officer late in 2010</w:t>
      </w:r>
      <w:r w:rsidR="000234DD">
        <w:rPr>
          <w:rFonts w:ascii="Arial" w:hAnsi="Arial" w:cs="Arial"/>
          <w:sz w:val="24"/>
          <w:szCs w:val="24"/>
        </w:rPr>
        <w:t xml:space="preserve"> and a second evaluation officer in 2011</w:t>
      </w:r>
      <w:r w:rsidR="00313A4F" w:rsidRPr="00B1350E">
        <w:rPr>
          <w:rFonts w:ascii="Arial" w:hAnsi="Arial" w:cs="Arial"/>
          <w:sz w:val="24"/>
          <w:szCs w:val="24"/>
        </w:rPr>
        <w:t xml:space="preserve">.  </w:t>
      </w:r>
      <w:r w:rsidR="007C46DD" w:rsidRPr="00B1350E">
        <w:rPr>
          <w:rFonts w:ascii="Arial" w:hAnsi="Arial" w:cs="Arial"/>
          <w:sz w:val="24"/>
          <w:szCs w:val="24"/>
        </w:rPr>
        <w:t xml:space="preserve">In early winter </w:t>
      </w:r>
      <w:r w:rsidR="00D13225" w:rsidRPr="00B1350E">
        <w:rPr>
          <w:rFonts w:ascii="Arial" w:hAnsi="Arial" w:cs="Arial"/>
          <w:sz w:val="24"/>
          <w:szCs w:val="24"/>
        </w:rPr>
        <w:t xml:space="preserve">of </w:t>
      </w:r>
      <w:r w:rsidR="007C46DD" w:rsidRPr="00B1350E">
        <w:rPr>
          <w:rFonts w:ascii="Arial" w:hAnsi="Arial" w:cs="Arial"/>
          <w:sz w:val="24"/>
          <w:szCs w:val="24"/>
        </w:rPr>
        <w:t xml:space="preserve">2011 </w:t>
      </w:r>
      <w:r w:rsidR="00C33F90" w:rsidRPr="00B1350E">
        <w:rPr>
          <w:rFonts w:ascii="Arial" w:hAnsi="Arial" w:cs="Arial"/>
          <w:sz w:val="24"/>
          <w:szCs w:val="24"/>
        </w:rPr>
        <w:t>IMLS</w:t>
      </w:r>
      <w:r>
        <w:rPr>
          <w:rFonts w:ascii="Arial" w:hAnsi="Arial" w:cs="Arial"/>
          <w:sz w:val="24"/>
          <w:szCs w:val="24"/>
        </w:rPr>
        <w:t>’s</w:t>
      </w:r>
      <w:r w:rsidR="007C46DD" w:rsidRPr="00B1350E">
        <w:rPr>
          <w:rFonts w:ascii="Arial" w:hAnsi="Arial" w:cs="Arial"/>
          <w:sz w:val="24"/>
          <w:szCs w:val="24"/>
        </w:rPr>
        <w:t xml:space="preserve"> </w:t>
      </w:r>
      <w:r>
        <w:rPr>
          <w:rFonts w:ascii="Arial" w:hAnsi="Arial" w:cs="Arial"/>
          <w:sz w:val="24"/>
          <w:szCs w:val="24"/>
        </w:rPr>
        <w:t xml:space="preserve">new </w:t>
      </w:r>
      <w:r w:rsidR="007C46DD" w:rsidRPr="00B1350E">
        <w:rPr>
          <w:rFonts w:ascii="Arial" w:hAnsi="Arial" w:cs="Arial"/>
          <w:sz w:val="24"/>
          <w:szCs w:val="24"/>
        </w:rPr>
        <w:t xml:space="preserve">appointed </w:t>
      </w:r>
      <w:r w:rsidR="004B764F" w:rsidRPr="00B1350E">
        <w:rPr>
          <w:rFonts w:ascii="Arial" w:hAnsi="Arial" w:cs="Arial"/>
          <w:sz w:val="24"/>
          <w:szCs w:val="24"/>
        </w:rPr>
        <w:t>d</w:t>
      </w:r>
      <w:r w:rsidR="00C33F90" w:rsidRPr="00B1350E">
        <w:rPr>
          <w:rFonts w:ascii="Arial" w:hAnsi="Arial" w:cs="Arial"/>
          <w:sz w:val="24"/>
          <w:szCs w:val="24"/>
        </w:rPr>
        <w:t xml:space="preserve">irector </w:t>
      </w:r>
      <w:r w:rsidR="008E38C4" w:rsidRPr="00B1350E">
        <w:rPr>
          <w:rFonts w:ascii="Arial" w:hAnsi="Arial" w:cs="Arial"/>
          <w:sz w:val="24"/>
          <w:szCs w:val="24"/>
        </w:rPr>
        <w:t xml:space="preserve">signaled </w:t>
      </w:r>
      <w:r w:rsidR="00C33F90" w:rsidRPr="00B1350E">
        <w:rPr>
          <w:rFonts w:ascii="Arial" w:hAnsi="Arial" w:cs="Arial"/>
          <w:sz w:val="24"/>
          <w:szCs w:val="24"/>
        </w:rPr>
        <w:t xml:space="preserve">that evaluation was a chief priority of her administration.  </w:t>
      </w:r>
      <w:r w:rsidR="000234DD">
        <w:rPr>
          <w:rFonts w:ascii="Arial" w:hAnsi="Arial" w:cs="Arial"/>
          <w:sz w:val="24"/>
          <w:szCs w:val="24"/>
        </w:rPr>
        <w:t xml:space="preserve">The LSTA </w:t>
      </w:r>
      <w:r w:rsidR="00C33F90" w:rsidRPr="00B1350E">
        <w:rPr>
          <w:rFonts w:ascii="Arial" w:hAnsi="Arial" w:cs="Arial"/>
          <w:sz w:val="24"/>
          <w:szCs w:val="24"/>
        </w:rPr>
        <w:t xml:space="preserve">Grants to States </w:t>
      </w:r>
      <w:r w:rsidR="000234DD">
        <w:rPr>
          <w:rFonts w:ascii="Arial" w:hAnsi="Arial" w:cs="Arial"/>
          <w:sz w:val="24"/>
          <w:szCs w:val="24"/>
        </w:rPr>
        <w:t xml:space="preserve">program, as the agency’s largest single program, </w:t>
      </w:r>
      <w:r w:rsidR="00282B88">
        <w:rPr>
          <w:rFonts w:ascii="Arial" w:hAnsi="Arial" w:cs="Arial"/>
          <w:sz w:val="24"/>
          <w:szCs w:val="24"/>
        </w:rPr>
        <w:t>has been</w:t>
      </w:r>
      <w:r w:rsidR="00C33F90" w:rsidRPr="00B1350E">
        <w:rPr>
          <w:rFonts w:ascii="Arial" w:hAnsi="Arial" w:cs="Arial"/>
          <w:sz w:val="24"/>
          <w:szCs w:val="24"/>
        </w:rPr>
        <w:t xml:space="preserve"> at the forefront of this new policy direction.</w:t>
      </w:r>
    </w:p>
    <w:p w:rsidR="0015010D" w:rsidRPr="00B1350E" w:rsidRDefault="007C46DD" w:rsidP="008D59F8">
      <w:pPr>
        <w:pStyle w:val="Body1"/>
        <w:spacing w:before="120" w:after="120" w:line="360" w:lineRule="auto"/>
        <w:rPr>
          <w:rFonts w:ascii="Arial" w:hAnsi="Arial" w:cs="Arial"/>
          <w:sz w:val="24"/>
          <w:szCs w:val="24"/>
        </w:rPr>
      </w:pPr>
      <w:r w:rsidRPr="00B1350E">
        <w:rPr>
          <w:rFonts w:ascii="Arial" w:hAnsi="Arial" w:cs="Arial"/>
          <w:sz w:val="24"/>
          <w:szCs w:val="24"/>
        </w:rPr>
        <w:t>A</w:t>
      </w:r>
      <w:r w:rsidR="00D33B47" w:rsidRPr="00B1350E">
        <w:rPr>
          <w:rFonts w:ascii="Arial" w:hAnsi="Arial" w:cs="Arial"/>
          <w:sz w:val="24"/>
          <w:szCs w:val="24"/>
        </w:rPr>
        <w:t xml:space="preserve"> new</w:t>
      </w:r>
      <w:r w:rsidRPr="00B1350E">
        <w:rPr>
          <w:rFonts w:ascii="Arial" w:hAnsi="Arial" w:cs="Arial"/>
          <w:sz w:val="24"/>
          <w:szCs w:val="24"/>
        </w:rPr>
        <w:t xml:space="preserve"> IMLS evaluation </w:t>
      </w:r>
      <w:r w:rsidR="00AD69F4">
        <w:rPr>
          <w:rFonts w:ascii="Arial" w:hAnsi="Arial" w:cs="Arial"/>
          <w:sz w:val="24"/>
          <w:szCs w:val="24"/>
        </w:rPr>
        <w:t>approach to Grants to States</w:t>
      </w:r>
      <w:r w:rsidR="00D33B47" w:rsidRPr="00B1350E">
        <w:rPr>
          <w:rFonts w:ascii="Arial" w:hAnsi="Arial" w:cs="Arial"/>
          <w:sz w:val="24"/>
          <w:szCs w:val="24"/>
        </w:rPr>
        <w:t xml:space="preserve"> </w:t>
      </w:r>
      <w:r w:rsidR="0097358E">
        <w:rPr>
          <w:rFonts w:ascii="Arial" w:hAnsi="Arial" w:cs="Arial"/>
          <w:sz w:val="24"/>
          <w:szCs w:val="24"/>
        </w:rPr>
        <w:t xml:space="preserve">has </w:t>
      </w:r>
      <w:r w:rsidR="002F425B">
        <w:rPr>
          <w:rFonts w:ascii="Arial" w:hAnsi="Arial" w:cs="Arial"/>
          <w:sz w:val="24"/>
          <w:szCs w:val="24"/>
        </w:rPr>
        <w:t>require</w:t>
      </w:r>
      <w:r w:rsidR="0097358E">
        <w:rPr>
          <w:rFonts w:ascii="Arial" w:hAnsi="Arial" w:cs="Arial"/>
          <w:sz w:val="24"/>
          <w:szCs w:val="24"/>
        </w:rPr>
        <w:t>d</w:t>
      </w:r>
      <w:r w:rsidR="00D33B47" w:rsidRPr="00B1350E">
        <w:rPr>
          <w:rFonts w:ascii="Arial" w:hAnsi="Arial" w:cs="Arial"/>
          <w:sz w:val="24"/>
          <w:szCs w:val="24"/>
        </w:rPr>
        <w:t xml:space="preserve"> SLAA buy-</w:t>
      </w:r>
      <w:r w:rsidR="002F425B">
        <w:rPr>
          <w:rFonts w:ascii="Arial" w:hAnsi="Arial" w:cs="Arial"/>
          <w:sz w:val="24"/>
          <w:szCs w:val="24"/>
        </w:rPr>
        <w:t xml:space="preserve">in </w:t>
      </w:r>
      <w:r w:rsidRPr="00B1350E">
        <w:rPr>
          <w:rFonts w:ascii="Arial" w:hAnsi="Arial" w:cs="Arial"/>
          <w:sz w:val="24"/>
          <w:szCs w:val="24"/>
        </w:rPr>
        <w:t>as partners</w:t>
      </w:r>
      <w:r w:rsidR="002F425B">
        <w:rPr>
          <w:rFonts w:ascii="Arial" w:hAnsi="Arial" w:cs="Arial"/>
          <w:sz w:val="24"/>
          <w:szCs w:val="24"/>
        </w:rPr>
        <w:t xml:space="preserve"> </w:t>
      </w:r>
      <w:r w:rsidR="000234DD">
        <w:rPr>
          <w:rFonts w:ascii="Arial" w:hAnsi="Arial" w:cs="Arial"/>
          <w:sz w:val="24"/>
          <w:szCs w:val="24"/>
        </w:rPr>
        <w:t xml:space="preserve">to ground the content </w:t>
      </w:r>
      <w:r w:rsidR="002F425B">
        <w:rPr>
          <w:rFonts w:ascii="Arial" w:hAnsi="Arial" w:cs="Arial"/>
          <w:sz w:val="24"/>
          <w:szCs w:val="24"/>
        </w:rPr>
        <w:t xml:space="preserve">while </w:t>
      </w:r>
      <w:r w:rsidR="00D33B47" w:rsidRPr="00B1350E">
        <w:rPr>
          <w:rFonts w:ascii="Arial" w:hAnsi="Arial" w:cs="Arial"/>
          <w:sz w:val="24"/>
          <w:szCs w:val="24"/>
        </w:rPr>
        <w:t>preserv</w:t>
      </w:r>
      <w:r w:rsidR="0013468B" w:rsidRPr="00B1350E">
        <w:rPr>
          <w:rFonts w:ascii="Arial" w:hAnsi="Arial" w:cs="Arial"/>
          <w:sz w:val="24"/>
          <w:szCs w:val="24"/>
        </w:rPr>
        <w:t>ing</w:t>
      </w:r>
      <w:r w:rsidR="00D33B47" w:rsidRPr="00B1350E">
        <w:rPr>
          <w:rFonts w:ascii="Arial" w:hAnsi="Arial" w:cs="Arial"/>
          <w:sz w:val="24"/>
          <w:szCs w:val="24"/>
        </w:rPr>
        <w:t xml:space="preserve"> </w:t>
      </w:r>
      <w:r w:rsidR="000234DD">
        <w:rPr>
          <w:rFonts w:ascii="Arial" w:hAnsi="Arial" w:cs="Arial"/>
          <w:sz w:val="24"/>
          <w:szCs w:val="24"/>
        </w:rPr>
        <w:t xml:space="preserve"> each state’s </w:t>
      </w:r>
      <w:r w:rsidR="00AB08E1">
        <w:rPr>
          <w:rFonts w:ascii="Arial" w:hAnsi="Arial" w:cs="Arial"/>
          <w:sz w:val="24"/>
          <w:szCs w:val="24"/>
        </w:rPr>
        <w:t>flexibility</w:t>
      </w:r>
      <w:r w:rsidR="00D33B47" w:rsidRPr="00B1350E">
        <w:rPr>
          <w:rFonts w:ascii="Arial" w:hAnsi="Arial" w:cs="Arial"/>
          <w:sz w:val="24"/>
          <w:szCs w:val="24"/>
        </w:rPr>
        <w:t xml:space="preserve"> to address the unique circumstances in their jurisdiction</w:t>
      </w:r>
      <w:r w:rsidR="00E83BA1" w:rsidRPr="00B1350E">
        <w:rPr>
          <w:rFonts w:ascii="Arial" w:hAnsi="Arial" w:cs="Arial"/>
          <w:sz w:val="24"/>
          <w:szCs w:val="24"/>
        </w:rPr>
        <w:t>.</w:t>
      </w:r>
      <w:r w:rsidR="006034DB" w:rsidRPr="00B1350E">
        <w:rPr>
          <w:rFonts w:ascii="Arial" w:hAnsi="Arial" w:cs="Arial"/>
          <w:sz w:val="24"/>
          <w:szCs w:val="24"/>
        </w:rPr>
        <w:t xml:space="preserve"> </w:t>
      </w:r>
      <w:r w:rsidR="00931E7A" w:rsidRPr="00B1350E">
        <w:rPr>
          <w:rFonts w:ascii="Arial" w:hAnsi="Arial" w:cs="Arial"/>
          <w:sz w:val="24"/>
          <w:szCs w:val="24"/>
        </w:rPr>
        <w:t xml:space="preserve"> </w:t>
      </w:r>
      <w:r w:rsidR="0013468B" w:rsidRPr="00B1350E">
        <w:rPr>
          <w:rFonts w:ascii="Arial" w:hAnsi="Arial" w:cs="Arial"/>
          <w:sz w:val="24"/>
          <w:szCs w:val="24"/>
        </w:rPr>
        <w:t xml:space="preserve">It </w:t>
      </w:r>
      <w:r w:rsidR="0097358E">
        <w:rPr>
          <w:rFonts w:ascii="Arial" w:hAnsi="Arial" w:cs="Arial"/>
          <w:sz w:val="24"/>
          <w:szCs w:val="24"/>
        </w:rPr>
        <w:t xml:space="preserve">has </w:t>
      </w:r>
      <w:r w:rsidR="002F425B">
        <w:rPr>
          <w:rFonts w:ascii="Arial" w:hAnsi="Arial" w:cs="Arial"/>
          <w:sz w:val="24"/>
          <w:szCs w:val="24"/>
        </w:rPr>
        <w:t>r</w:t>
      </w:r>
      <w:r w:rsidRPr="00B1350E">
        <w:rPr>
          <w:rFonts w:ascii="Arial" w:hAnsi="Arial" w:cs="Arial"/>
          <w:sz w:val="24"/>
          <w:szCs w:val="24"/>
        </w:rPr>
        <w:t>equire</w:t>
      </w:r>
      <w:r w:rsidR="0097358E">
        <w:rPr>
          <w:rFonts w:ascii="Arial" w:hAnsi="Arial" w:cs="Arial"/>
          <w:sz w:val="24"/>
          <w:szCs w:val="24"/>
        </w:rPr>
        <w:t>d</w:t>
      </w:r>
      <w:r w:rsidR="00D33B47" w:rsidRPr="00B1350E">
        <w:rPr>
          <w:rFonts w:ascii="Arial" w:hAnsi="Arial" w:cs="Arial"/>
          <w:sz w:val="24"/>
          <w:szCs w:val="24"/>
        </w:rPr>
        <w:t xml:space="preserve"> a more consistent framework to</w:t>
      </w:r>
      <w:r w:rsidR="00DB1368" w:rsidRPr="00B1350E">
        <w:rPr>
          <w:rFonts w:ascii="Arial" w:hAnsi="Arial" w:cs="Arial"/>
          <w:sz w:val="24"/>
          <w:szCs w:val="24"/>
        </w:rPr>
        <w:t>:</w:t>
      </w:r>
      <w:r w:rsidR="00931E7A" w:rsidRPr="00B1350E">
        <w:rPr>
          <w:rFonts w:ascii="Arial" w:hAnsi="Arial" w:cs="Arial"/>
          <w:sz w:val="24"/>
          <w:szCs w:val="24"/>
        </w:rPr>
        <w:t xml:space="preserve"> </w:t>
      </w:r>
      <w:r w:rsidR="00D33B47" w:rsidRPr="00B1350E">
        <w:rPr>
          <w:rFonts w:ascii="Arial" w:hAnsi="Arial" w:cs="Arial"/>
          <w:sz w:val="24"/>
          <w:szCs w:val="24"/>
        </w:rPr>
        <w:t xml:space="preserve">(1) track performance of </w:t>
      </w:r>
      <w:r w:rsidR="00AF2903">
        <w:rPr>
          <w:rFonts w:ascii="Arial" w:hAnsi="Arial" w:cs="Arial"/>
          <w:sz w:val="24"/>
          <w:szCs w:val="24"/>
        </w:rPr>
        <w:t>activities</w:t>
      </w:r>
      <w:r w:rsidR="00D33B47" w:rsidRPr="00B1350E">
        <w:rPr>
          <w:rFonts w:ascii="Arial" w:hAnsi="Arial" w:cs="Arial"/>
          <w:sz w:val="24"/>
          <w:szCs w:val="24"/>
        </w:rPr>
        <w:t xml:space="preserve"> and services in </w:t>
      </w:r>
      <w:r w:rsidR="000234DD">
        <w:rPr>
          <w:rFonts w:ascii="Arial" w:hAnsi="Arial" w:cs="Arial"/>
          <w:sz w:val="24"/>
          <w:szCs w:val="24"/>
        </w:rPr>
        <w:t xml:space="preserve">the LSTA </w:t>
      </w:r>
      <w:r w:rsidR="00D33B47" w:rsidRPr="00B1350E">
        <w:rPr>
          <w:rFonts w:ascii="Arial" w:hAnsi="Arial" w:cs="Arial"/>
          <w:sz w:val="24"/>
          <w:szCs w:val="24"/>
        </w:rPr>
        <w:t xml:space="preserve">Grants to States over time </w:t>
      </w:r>
      <w:r w:rsidR="00931E7A" w:rsidRPr="00B1350E">
        <w:rPr>
          <w:rFonts w:ascii="Arial" w:hAnsi="Arial" w:cs="Arial"/>
          <w:sz w:val="24"/>
          <w:szCs w:val="24"/>
        </w:rPr>
        <w:t>and</w:t>
      </w:r>
      <w:r w:rsidR="00D33B47" w:rsidRPr="00B1350E">
        <w:rPr>
          <w:rFonts w:ascii="Arial" w:hAnsi="Arial" w:cs="Arial"/>
          <w:sz w:val="24"/>
          <w:szCs w:val="24"/>
        </w:rPr>
        <w:t xml:space="preserve"> across different </w:t>
      </w:r>
      <w:r w:rsidR="00E83BA1" w:rsidRPr="00B1350E">
        <w:rPr>
          <w:rFonts w:ascii="Arial" w:hAnsi="Arial" w:cs="Arial"/>
          <w:sz w:val="24"/>
          <w:szCs w:val="24"/>
        </w:rPr>
        <w:t>programmatic</w:t>
      </w:r>
      <w:r w:rsidR="00D33B47" w:rsidRPr="00B1350E">
        <w:rPr>
          <w:rFonts w:ascii="Arial" w:hAnsi="Arial" w:cs="Arial"/>
          <w:sz w:val="24"/>
          <w:szCs w:val="24"/>
        </w:rPr>
        <w:t xml:space="preserve"> areas; (2) enable a much stronger </w:t>
      </w:r>
      <w:r w:rsidRPr="00B1350E">
        <w:rPr>
          <w:rFonts w:ascii="Arial" w:hAnsi="Arial" w:cs="Arial"/>
          <w:sz w:val="24"/>
          <w:szCs w:val="24"/>
        </w:rPr>
        <w:t xml:space="preserve">performance </w:t>
      </w:r>
      <w:r w:rsidR="00D33B47" w:rsidRPr="00B1350E">
        <w:rPr>
          <w:rFonts w:ascii="Arial" w:hAnsi="Arial" w:cs="Arial"/>
          <w:sz w:val="24"/>
          <w:szCs w:val="24"/>
        </w:rPr>
        <w:t xml:space="preserve">synthesis </w:t>
      </w:r>
      <w:r w:rsidR="00E83BA1" w:rsidRPr="00B1350E">
        <w:rPr>
          <w:rFonts w:ascii="Arial" w:hAnsi="Arial" w:cs="Arial"/>
          <w:sz w:val="24"/>
          <w:szCs w:val="24"/>
        </w:rPr>
        <w:t>that allow</w:t>
      </w:r>
      <w:r w:rsidR="002F425B">
        <w:rPr>
          <w:rFonts w:ascii="Arial" w:hAnsi="Arial" w:cs="Arial"/>
          <w:sz w:val="24"/>
          <w:szCs w:val="24"/>
        </w:rPr>
        <w:t>s</w:t>
      </w:r>
      <w:r w:rsidR="00E83BA1" w:rsidRPr="00B1350E">
        <w:rPr>
          <w:rFonts w:ascii="Arial" w:hAnsi="Arial" w:cs="Arial"/>
          <w:sz w:val="24"/>
          <w:szCs w:val="24"/>
        </w:rPr>
        <w:t xml:space="preserve"> for purposeful clustering across individual projects</w:t>
      </w:r>
      <w:r w:rsidR="00D33B47" w:rsidRPr="00B1350E">
        <w:rPr>
          <w:rFonts w:ascii="Arial" w:hAnsi="Arial" w:cs="Arial"/>
          <w:sz w:val="24"/>
          <w:szCs w:val="24"/>
        </w:rPr>
        <w:t xml:space="preserve">; and (3) </w:t>
      </w:r>
      <w:r w:rsidR="00874A28" w:rsidRPr="00B1350E">
        <w:rPr>
          <w:rFonts w:ascii="Arial" w:hAnsi="Arial" w:cs="Arial"/>
          <w:sz w:val="24"/>
          <w:szCs w:val="24"/>
        </w:rPr>
        <w:t xml:space="preserve">better </w:t>
      </w:r>
      <w:r w:rsidR="00D33B47" w:rsidRPr="00B1350E">
        <w:rPr>
          <w:rFonts w:ascii="Arial" w:hAnsi="Arial" w:cs="Arial"/>
          <w:sz w:val="24"/>
          <w:szCs w:val="24"/>
        </w:rPr>
        <w:t>identif</w:t>
      </w:r>
      <w:r w:rsidR="0097358E">
        <w:rPr>
          <w:rFonts w:ascii="Arial" w:hAnsi="Arial" w:cs="Arial"/>
          <w:sz w:val="24"/>
          <w:szCs w:val="24"/>
        </w:rPr>
        <w:t>y</w:t>
      </w:r>
      <w:r w:rsidR="00D33B47" w:rsidRPr="00B1350E">
        <w:rPr>
          <w:rFonts w:ascii="Arial" w:hAnsi="Arial" w:cs="Arial"/>
          <w:sz w:val="24"/>
          <w:szCs w:val="24"/>
        </w:rPr>
        <w:t xml:space="preserve"> and foster</w:t>
      </w:r>
      <w:r w:rsidR="0097358E">
        <w:rPr>
          <w:rFonts w:ascii="Arial" w:hAnsi="Arial" w:cs="Arial"/>
          <w:sz w:val="24"/>
          <w:szCs w:val="24"/>
        </w:rPr>
        <w:t xml:space="preserve"> of</w:t>
      </w:r>
      <w:r w:rsidR="00D33B47" w:rsidRPr="00B1350E">
        <w:rPr>
          <w:rFonts w:ascii="Arial" w:hAnsi="Arial" w:cs="Arial"/>
          <w:sz w:val="24"/>
          <w:szCs w:val="24"/>
        </w:rPr>
        <w:t xml:space="preserve"> best practices and shared learnin</w:t>
      </w:r>
      <w:r w:rsidR="00E83BA1" w:rsidRPr="00B1350E">
        <w:rPr>
          <w:rFonts w:ascii="Arial" w:hAnsi="Arial" w:cs="Arial"/>
          <w:sz w:val="24"/>
          <w:szCs w:val="24"/>
        </w:rPr>
        <w:t>g</w:t>
      </w:r>
      <w:r w:rsidR="00874A28" w:rsidRPr="00B1350E">
        <w:rPr>
          <w:rFonts w:ascii="Arial" w:hAnsi="Arial" w:cs="Arial"/>
          <w:sz w:val="24"/>
          <w:szCs w:val="24"/>
        </w:rPr>
        <w:t>.</w:t>
      </w:r>
      <w:r w:rsidR="00E83BA1" w:rsidRPr="00B1350E">
        <w:rPr>
          <w:rFonts w:ascii="Arial" w:hAnsi="Arial" w:cs="Arial"/>
          <w:sz w:val="24"/>
          <w:szCs w:val="24"/>
        </w:rPr>
        <w:t xml:space="preserve"> </w:t>
      </w:r>
      <w:r w:rsidR="00D33B47" w:rsidRPr="00B1350E">
        <w:rPr>
          <w:rFonts w:ascii="Arial" w:hAnsi="Arial" w:cs="Arial"/>
          <w:sz w:val="24"/>
          <w:szCs w:val="24"/>
        </w:rPr>
        <w:t xml:space="preserve"> </w:t>
      </w:r>
    </w:p>
    <w:p w:rsidR="00CD00CA" w:rsidRPr="00AD69F4" w:rsidRDefault="00CD00CA" w:rsidP="008D59F8">
      <w:pPr>
        <w:pStyle w:val="Body1"/>
        <w:spacing w:before="120" w:after="120" w:line="360" w:lineRule="auto"/>
        <w:rPr>
          <w:rFonts w:ascii="Arial" w:hAnsi="Arial" w:cs="Arial"/>
          <w:sz w:val="28"/>
          <w:szCs w:val="28"/>
        </w:rPr>
      </w:pPr>
      <w:r w:rsidRPr="00AD69F4">
        <w:rPr>
          <w:rFonts w:ascii="Arial" w:hAnsi="Arial" w:cs="Arial"/>
          <w:b/>
          <w:sz w:val="28"/>
          <w:szCs w:val="28"/>
        </w:rPr>
        <w:t>Design</w:t>
      </w:r>
      <w:r w:rsidR="00957A8C" w:rsidRPr="00AD69F4">
        <w:rPr>
          <w:rFonts w:ascii="Arial" w:hAnsi="Arial" w:cs="Arial"/>
          <w:b/>
          <w:sz w:val="28"/>
          <w:szCs w:val="28"/>
        </w:rPr>
        <w:t xml:space="preserve">ing </w:t>
      </w:r>
      <w:r w:rsidRPr="00AD69F4">
        <w:rPr>
          <w:rFonts w:ascii="Arial" w:hAnsi="Arial" w:cs="Arial"/>
          <w:b/>
          <w:sz w:val="28"/>
          <w:szCs w:val="28"/>
        </w:rPr>
        <w:t>the Measuring Success Initiative</w:t>
      </w:r>
    </w:p>
    <w:p w:rsidR="00AE75BC" w:rsidRPr="00B1350E" w:rsidRDefault="00AE75BC" w:rsidP="00AE75BC">
      <w:pPr>
        <w:pStyle w:val="Body1"/>
        <w:spacing w:before="120" w:after="120" w:line="360" w:lineRule="auto"/>
        <w:rPr>
          <w:rFonts w:ascii="Arial" w:hAnsi="Arial" w:cs="Arial"/>
          <w:sz w:val="24"/>
          <w:szCs w:val="24"/>
        </w:rPr>
      </w:pPr>
      <w:r w:rsidRPr="00B1350E">
        <w:rPr>
          <w:rFonts w:ascii="Arial" w:hAnsi="Arial" w:cs="Arial"/>
          <w:sz w:val="24"/>
          <w:szCs w:val="24"/>
        </w:rPr>
        <w:t xml:space="preserve">Creating a new evaluation approach for this formula grant program </w:t>
      </w:r>
      <w:r w:rsidR="0097358E">
        <w:rPr>
          <w:rFonts w:ascii="Arial" w:hAnsi="Arial" w:cs="Arial"/>
          <w:sz w:val="24"/>
          <w:szCs w:val="24"/>
        </w:rPr>
        <w:t xml:space="preserve">has </w:t>
      </w:r>
      <w:r w:rsidRPr="00B1350E">
        <w:rPr>
          <w:rFonts w:ascii="Arial" w:hAnsi="Arial" w:cs="Arial"/>
          <w:sz w:val="24"/>
          <w:szCs w:val="24"/>
        </w:rPr>
        <w:t>face</w:t>
      </w:r>
      <w:r w:rsidR="0097358E">
        <w:rPr>
          <w:rFonts w:ascii="Arial" w:hAnsi="Arial" w:cs="Arial"/>
          <w:sz w:val="24"/>
          <w:szCs w:val="24"/>
        </w:rPr>
        <w:t>d</w:t>
      </w:r>
      <w:r w:rsidRPr="00B1350E">
        <w:rPr>
          <w:rFonts w:ascii="Arial" w:hAnsi="Arial" w:cs="Arial"/>
          <w:sz w:val="24"/>
          <w:szCs w:val="24"/>
        </w:rPr>
        <w:t xml:space="preserve"> several key challenges.  For better and worse, evaluation </w:t>
      </w:r>
      <w:r w:rsidR="002F425B">
        <w:rPr>
          <w:rFonts w:ascii="Arial" w:hAnsi="Arial" w:cs="Arial"/>
          <w:sz w:val="24"/>
          <w:szCs w:val="24"/>
        </w:rPr>
        <w:t>has been closely</w:t>
      </w:r>
      <w:r w:rsidRPr="00B1350E">
        <w:rPr>
          <w:rFonts w:ascii="Arial" w:hAnsi="Arial" w:cs="Arial"/>
          <w:sz w:val="24"/>
          <w:szCs w:val="24"/>
        </w:rPr>
        <w:t xml:space="preserve"> tied to logic models</w:t>
      </w:r>
      <w:r w:rsidR="002F425B">
        <w:rPr>
          <w:rFonts w:ascii="Arial" w:hAnsi="Arial" w:cs="Arial"/>
          <w:sz w:val="24"/>
          <w:szCs w:val="24"/>
        </w:rPr>
        <w:t xml:space="preserve"> since the late 1990s</w:t>
      </w:r>
      <w:r w:rsidR="00C87909" w:rsidRPr="00B1350E">
        <w:rPr>
          <w:rFonts w:ascii="Arial" w:hAnsi="Arial" w:cs="Arial"/>
          <w:sz w:val="24"/>
          <w:szCs w:val="24"/>
        </w:rPr>
        <w:t>,</w:t>
      </w:r>
      <w:r w:rsidR="002F425B">
        <w:rPr>
          <w:rFonts w:ascii="Arial" w:hAnsi="Arial" w:cs="Arial"/>
          <w:sz w:val="24"/>
          <w:szCs w:val="24"/>
        </w:rPr>
        <w:t xml:space="preserve"> and </w:t>
      </w:r>
      <w:r w:rsidRPr="00B1350E">
        <w:rPr>
          <w:rFonts w:ascii="Arial" w:hAnsi="Arial" w:cs="Arial"/>
          <w:sz w:val="24"/>
          <w:szCs w:val="24"/>
        </w:rPr>
        <w:t xml:space="preserve">severely decentralized at a project level.  Key parties in IMLS and its SLAA grantees </w:t>
      </w:r>
      <w:r w:rsidR="002F425B">
        <w:rPr>
          <w:rFonts w:ascii="Arial" w:hAnsi="Arial" w:cs="Arial"/>
          <w:sz w:val="24"/>
          <w:szCs w:val="24"/>
        </w:rPr>
        <w:t xml:space="preserve">have </w:t>
      </w:r>
      <w:r w:rsidRPr="00B1350E">
        <w:rPr>
          <w:rFonts w:ascii="Arial" w:hAnsi="Arial" w:cs="Arial"/>
          <w:sz w:val="24"/>
          <w:szCs w:val="24"/>
        </w:rPr>
        <w:t xml:space="preserve">had disparate understandings of evaluation and interpretations of definitions and application of </w:t>
      </w:r>
      <w:r w:rsidR="002F425B" w:rsidRPr="00B1350E">
        <w:rPr>
          <w:rFonts w:ascii="Arial" w:hAnsi="Arial" w:cs="Arial"/>
          <w:sz w:val="24"/>
          <w:szCs w:val="24"/>
        </w:rPr>
        <w:t>project</w:t>
      </w:r>
      <w:r w:rsidR="002F425B">
        <w:rPr>
          <w:rFonts w:ascii="Arial" w:hAnsi="Arial" w:cs="Arial"/>
          <w:sz w:val="24"/>
          <w:szCs w:val="24"/>
        </w:rPr>
        <w:t xml:space="preserve"> </w:t>
      </w:r>
      <w:r w:rsidRPr="00B1350E">
        <w:rPr>
          <w:rFonts w:ascii="Arial" w:hAnsi="Arial" w:cs="Arial"/>
          <w:sz w:val="24"/>
          <w:szCs w:val="24"/>
        </w:rPr>
        <w:t>measure</w:t>
      </w:r>
      <w:r w:rsidR="002F425B">
        <w:rPr>
          <w:rFonts w:ascii="Arial" w:hAnsi="Arial" w:cs="Arial"/>
          <w:sz w:val="24"/>
          <w:szCs w:val="24"/>
        </w:rPr>
        <w:t>s</w:t>
      </w:r>
      <w:r w:rsidRPr="00B1350E">
        <w:rPr>
          <w:rFonts w:ascii="Arial" w:hAnsi="Arial" w:cs="Arial"/>
          <w:sz w:val="24"/>
          <w:szCs w:val="24"/>
        </w:rPr>
        <w:t>.  Finally, a</w:t>
      </w:r>
      <w:r w:rsidR="002F425B">
        <w:rPr>
          <w:rFonts w:ascii="Arial" w:hAnsi="Arial" w:cs="Arial"/>
          <w:sz w:val="24"/>
          <w:szCs w:val="24"/>
        </w:rPr>
        <w:t>ny</w:t>
      </w:r>
      <w:r w:rsidRPr="00B1350E">
        <w:rPr>
          <w:rFonts w:ascii="Arial" w:hAnsi="Arial" w:cs="Arial"/>
          <w:sz w:val="24"/>
          <w:szCs w:val="24"/>
        </w:rPr>
        <w:t xml:space="preserve"> solution </w:t>
      </w:r>
      <w:r w:rsidR="002F425B">
        <w:rPr>
          <w:rFonts w:ascii="Arial" w:hAnsi="Arial" w:cs="Arial"/>
          <w:sz w:val="24"/>
          <w:szCs w:val="24"/>
        </w:rPr>
        <w:t>must be</w:t>
      </w:r>
      <w:r w:rsidRPr="00B1350E">
        <w:rPr>
          <w:rFonts w:ascii="Arial" w:hAnsi="Arial" w:cs="Arial"/>
          <w:sz w:val="24"/>
          <w:szCs w:val="24"/>
        </w:rPr>
        <w:t xml:space="preserve"> embedded in a </w:t>
      </w:r>
      <w:r w:rsidR="0097358E">
        <w:rPr>
          <w:rFonts w:ascii="Arial" w:hAnsi="Arial" w:cs="Arial"/>
          <w:sz w:val="24"/>
          <w:szCs w:val="24"/>
        </w:rPr>
        <w:t xml:space="preserve">new grant performance </w:t>
      </w:r>
      <w:r w:rsidRPr="00B1350E">
        <w:rPr>
          <w:rFonts w:ascii="Arial" w:hAnsi="Arial" w:cs="Arial"/>
          <w:sz w:val="24"/>
          <w:szCs w:val="24"/>
        </w:rPr>
        <w:t>rep</w:t>
      </w:r>
      <w:r w:rsidR="0097358E">
        <w:rPr>
          <w:rFonts w:ascii="Arial" w:hAnsi="Arial" w:cs="Arial"/>
          <w:sz w:val="24"/>
          <w:szCs w:val="24"/>
        </w:rPr>
        <w:t>orting system.</w:t>
      </w:r>
    </w:p>
    <w:p w:rsidR="00AE75BC" w:rsidRPr="00B1350E" w:rsidRDefault="00C33F90" w:rsidP="008D59F8">
      <w:pPr>
        <w:pStyle w:val="Body1"/>
        <w:spacing w:before="120" w:after="120" w:line="360" w:lineRule="auto"/>
        <w:rPr>
          <w:rFonts w:ascii="Arial" w:hAnsi="Arial" w:cs="Arial"/>
          <w:sz w:val="24"/>
          <w:szCs w:val="24"/>
        </w:rPr>
      </w:pPr>
      <w:r w:rsidRPr="00B1350E">
        <w:rPr>
          <w:rFonts w:ascii="Arial" w:hAnsi="Arial" w:cs="Arial"/>
          <w:sz w:val="24"/>
          <w:szCs w:val="24"/>
        </w:rPr>
        <w:t>Following months of building internal consensus</w:t>
      </w:r>
      <w:r w:rsidR="00AE75BC" w:rsidRPr="00B1350E">
        <w:rPr>
          <w:rFonts w:ascii="Arial" w:hAnsi="Arial" w:cs="Arial"/>
          <w:sz w:val="24"/>
          <w:szCs w:val="24"/>
        </w:rPr>
        <w:t xml:space="preserve">, </w:t>
      </w:r>
      <w:r w:rsidRPr="00B1350E">
        <w:rPr>
          <w:rFonts w:ascii="Arial" w:hAnsi="Arial" w:cs="Arial"/>
          <w:sz w:val="24"/>
          <w:szCs w:val="24"/>
        </w:rPr>
        <w:t>a framework f</w:t>
      </w:r>
      <w:r w:rsidR="0097358E">
        <w:rPr>
          <w:rFonts w:ascii="Arial" w:hAnsi="Arial" w:cs="Arial"/>
          <w:sz w:val="24"/>
          <w:szCs w:val="24"/>
        </w:rPr>
        <w:t>or restructuring the evaluation approach for Grants to States</w:t>
      </w:r>
      <w:r w:rsidRPr="00B1350E">
        <w:rPr>
          <w:rFonts w:ascii="Arial" w:hAnsi="Arial" w:cs="Arial"/>
          <w:sz w:val="24"/>
          <w:szCs w:val="24"/>
        </w:rPr>
        <w:t xml:space="preserve"> </w:t>
      </w:r>
      <w:r w:rsidR="006034DB" w:rsidRPr="00B1350E">
        <w:rPr>
          <w:rFonts w:ascii="Arial" w:hAnsi="Arial" w:cs="Arial"/>
          <w:sz w:val="24"/>
          <w:szCs w:val="24"/>
        </w:rPr>
        <w:t xml:space="preserve">was shared with SLAA participants </w:t>
      </w:r>
      <w:r w:rsidRPr="00B1350E">
        <w:rPr>
          <w:rFonts w:ascii="Arial" w:hAnsi="Arial" w:cs="Arial"/>
          <w:sz w:val="24"/>
          <w:szCs w:val="24"/>
        </w:rPr>
        <w:t xml:space="preserve">at their annual </w:t>
      </w:r>
      <w:r w:rsidR="00957A8C" w:rsidRPr="00B1350E">
        <w:rPr>
          <w:rFonts w:ascii="Arial" w:hAnsi="Arial" w:cs="Arial"/>
          <w:sz w:val="24"/>
          <w:szCs w:val="24"/>
        </w:rPr>
        <w:t>convening</w:t>
      </w:r>
      <w:r w:rsidR="00412C52" w:rsidRPr="00B1350E">
        <w:rPr>
          <w:rFonts w:ascii="Arial" w:hAnsi="Arial" w:cs="Arial"/>
          <w:sz w:val="24"/>
          <w:szCs w:val="24"/>
        </w:rPr>
        <w:t xml:space="preserve"> in March of 2011</w:t>
      </w:r>
      <w:r w:rsidR="006759E4" w:rsidRPr="00B1350E">
        <w:rPr>
          <w:rFonts w:ascii="Arial" w:hAnsi="Arial" w:cs="Arial"/>
          <w:sz w:val="24"/>
          <w:szCs w:val="24"/>
        </w:rPr>
        <w:t xml:space="preserve">.  </w:t>
      </w:r>
      <w:r w:rsidR="0097358E">
        <w:rPr>
          <w:rFonts w:ascii="Arial" w:hAnsi="Arial" w:cs="Arial"/>
          <w:sz w:val="24"/>
          <w:szCs w:val="24"/>
        </w:rPr>
        <w:t>This</w:t>
      </w:r>
      <w:r w:rsidR="00AE75BC" w:rsidRPr="00B1350E">
        <w:rPr>
          <w:rFonts w:ascii="Arial" w:hAnsi="Arial" w:cs="Arial"/>
          <w:sz w:val="24"/>
          <w:szCs w:val="24"/>
        </w:rPr>
        <w:t xml:space="preserve"> </w:t>
      </w:r>
      <w:r w:rsidR="00AD69F4">
        <w:rPr>
          <w:rFonts w:ascii="Arial" w:hAnsi="Arial" w:cs="Arial"/>
          <w:sz w:val="24"/>
          <w:szCs w:val="24"/>
        </w:rPr>
        <w:t xml:space="preserve">new OBE </w:t>
      </w:r>
      <w:r w:rsidRPr="00B1350E">
        <w:rPr>
          <w:rFonts w:ascii="Arial" w:hAnsi="Arial" w:cs="Arial"/>
          <w:sz w:val="24"/>
          <w:szCs w:val="24"/>
        </w:rPr>
        <w:t xml:space="preserve">approach </w:t>
      </w:r>
      <w:r w:rsidR="00AD69F4">
        <w:rPr>
          <w:rFonts w:ascii="Arial" w:hAnsi="Arial" w:cs="Arial"/>
          <w:sz w:val="24"/>
          <w:szCs w:val="24"/>
        </w:rPr>
        <w:t>moved away from</w:t>
      </w:r>
      <w:r w:rsidR="00DB1368" w:rsidRPr="00B1350E">
        <w:rPr>
          <w:rFonts w:ascii="Arial" w:hAnsi="Arial" w:cs="Arial"/>
          <w:sz w:val="24"/>
          <w:szCs w:val="24"/>
        </w:rPr>
        <w:t xml:space="preserve"> logic models</w:t>
      </w:r>
      <w:r w:rsidRPr="00B1350E">
        <w:rPr>
          <w:rFonts w:ascii="Arial" w:hAnsi="Arial" w:cs="Arial"/>
          <w:sz w:val="24"/>
          <w:szCs w:val="24"/>
        </w:rPr>
        <w:t xml:space="preserve">.  </w:t>
      </w:r>
    </w:p>
    <w:p w:rsidR="00C33F90" w:rsidRPr="00B1350E" w:rsidRDefault="00AE75BC" w:rsidP="008D59F8">
      <w:pPr>
        <w:pStyle w:val="Body1"/>
        <w:spacing w:before="120" w:after="120" w:line="360" w:lineRule="auto"/>
        <w:rPr>
          <w:rFonts w:ascii="Arial" w:hAnsi="Arial" w:cs="Arial"/>
          <w:sz w:val="24"/>
          <w:szCs w:val="24"/>
        </w:rPr>
      </w:pPr>
      <w:r w:rsidRPr="00B1350E">
        <w:rPr>
          <w:rFonts w:ascii="Arial" w:hAnsi="Arial" w:cs="Arial"/>
          <w:sz w:val="24"/>
          <w:szCs w:val="24"/>
        </w:rPr>
        <w:lastRenderedPageBreak/>
        <w:t>Decisions were</w:t>
      </w:r>
      <w:r w:rsidR="00C33F90" w:rsidRPr="00B1350E">
        <w:rPr>
          <w:rFonts w:ascii="Arial" w:hAnsi="Arial" w:cs="Arial"/>
          <w:sz w:val="24"/>
          <w:szCs w:val="24"/>
        </w:rPr>
        <w:t xml:space="preserve"> operationalized in two transparent</w:t>
      </w:r>
      <w:r w:rsidR="00C87909" w:rsidRPr="00B1350E">
        <w:rPr>
          <w:rFonts w:ascii="Arial" w:hAnsi="Arial" w:cs="Arial"/>
          <w:sz w:val="24"/>
          <w:szCs w:val="24"/>
        </w:rPr>
        <w:t xml:space="preserve"> principles</w:t>
      </w:r>
      <w:r w:rsidR="00C33F90" w:rsidRPr="00B1350E">
        <w:rPr>
          <w:rFonts w:ascii="Arial" w:hAnsi="Arial" w:cs="Arial"/>
          <w:sz w:val="24"/>
          <w:szCs w:val="24"/>
        </w:rPr>
        <w:t>.</w:t>
      </w:r>
      <w:r w:rsidR="006034DB" w:rsidRPr="00B1350E">
        <w:rPr>
          <w:rFonts w:ascii="Arial" w:hAnsi="Arial" w:cs="Arial"/>
          <w:sz w:val="24"/>
          <w:szCs w:val="24"/>
        </w:rPr>
        <w:t xml:space="preserve"> </w:t>
      </w:r>
      <w:r w:rsidR="00C33F90" w:rsidRPr="00B1350E">
        <w:rPr>
          <w:rFonts w:ascii="Arial" w:hAnsi="Arial" w:cs="Arial"/>
          <w:sz w:val="24"/>
          <w:szCs w:val="24"/>
        </w:rPr>
        <w:t xml:space="preserve"> First, the </w:t>
      </w:r>
      <w:r w:rsidR="00AD69F4">
        <w:rPr>
          <w:rFonts w:ascii="Arial" w:hAnsi="Arial" w:cs="Arial"/>
          <w:sz w:val="24"/>
          <w:szCs w:val="24"/>
        </w:rPr>
        <w:t xml:space="preserve">development of the new </w:t>
      </w:r>
      <w:r w:rsidRPr="00B1350E">
        <w:rPr>
          <w:rFonts w:ascii="Arial" w:hAnsi="Arial" w:cs="Arial"/>
          <w:sz w:val="24"/>
          <w:szCs w:val="24"/>
        </w:rPr>
        <w:t xml:space="preserve">evaluation </w:t>
      </w:r>
      <w:r w:rsidR="00AD69F4">
        <w:rPr>
          <w:rFonts w:ascii="Arial" w:hAnsi="Arial" w:cs="Arial"/>
          <w:sz w:val="24"/>
          <w:szCs w:val="24"/>
        </w:rPr>
        <w:t>approach</w:t>
      </w:r>
      <w:r w:rsidR="00C33F90" w:rsidRPr="00B1350E">
        <w:rPr>
          <w:rFonts w:ascii="Arial" w:hAnsi="Arial" w:cs="Arial"/>
          <w:sz w:val="24"/>
          <w:szCs w:val="24"/>
        </w:rPr>
        <w:t xml:space="preserve"> would unfold iteratively and incrementally.  Three overlapping phases </w:t>
      </w:r>
      <w:r w:rsidR="009E2413">
        <w:rPr>
          <w:rFonts w:ascii="Arial" w:hAnsi="Arial" w:cs="Arial"/>
          <w:sz w:val="24"/>
          <w:szCs w:val="24"/>
        </w:rPr>
        <w:t xml:space="preserve">to occupy </w:t>
      </w:r>
      <w:r w:rsidR="006034DB" w:rsidRPr="00B1350E">
        <w:rPr>
          <w:rFonts w:ascii="Arial" w:hAnsi="Arial" w:cs="Arial"/>
          <w:sz w:val="24"/>
          <w:szCs w:val="24"/>
        </w:rPr>
        <w:t>an approximately 24-month period</w:t>
      </w:r>
      <w:r w:rsidR="009E2413">
        <w:rPr>
          <w:rFonts w:ascii="Arial" w:hAnsi="Arial" w:cs="Arial"/>
          <w:sz w:val="24"/>
          <w:szCs w:val="24"/>
        </w:rPr>
        <w:t xml:space="preserve"> were delineated:  </w:t>
      </w:r>
      <w:r w:rsidR="00C33F90" w:rsidRPr="00B1350E">
        <w:rPr>
          <w:rFonts w:ascii="Arial" w:hAnsi="Arial" w:cs="Arial"/>
          <w:sz w:val="24"/>
          <w:szCs w:val="24"/>
        </w:rPr>
        <w:t>design, pilot, and roll-out.  Sequential steps</w:t>
      </w:r>
      <w:r w:rsidR="006034DB" w:rsidRPr="00B1350E">
        <w:rPr>
          <w:rFonts w:ascii="Arial" w:hAnsi="Arial" w:cs="Arial"/>
          <w:sz w:val="24"/>
          <w:szCs w:val="24"/>
        </w:rPr>
        <w:t xml:space="preserve"> </w:t>
      </w:r>
      <w:r w:rsidR="0097358E">
        <w:rPr>
          <w:rFonts w:ascii="Arial" w:hAnsi="Arial" w:cs="Arial"/>
          <w:sz w:val="24"/>
          <w:szCs w:val="24"/>
        </w:rPr>
        <w:t>within</w:t>
      </w:r>
      <w:r w:rsidR="006034DB" w:rsidRPr="00B1350E">
        <w:rPr>
          <w:rFonts w:ascii="Arial" w:hAnsi="Arial" w:cs="Arial"/>
          <w:sz w:val="24"/>
          <w:szCs w:val="24"/>
        </w:rPr>
        <w:t xml:space="preserve"> each phase </w:t>
      </w:r>
      <w:r w:rsidRPr="00B1350E">
        <w:rPr>
          <w:rFonts w:ascii="Arial" w:hAnsi="Arial" w:cs="Arial"/>
          <w:sz w:val="24"/>
          <w:szCs w:val="24"/>
        </w:rPr>
        <w:t>would</w:t>
      </w:r>
      <w:r w:rsidR="00C33F90" w:rsidRPr="00B1350E">
        <w:rPr>
          <w:rFonts w:ascii="Arial" w:hAnsi="Arial" w:cs="Arial"/>
          <w:sz w:val="24"/>
          <w:szCs w:val="24"/>
        </w:rPr>
        <w:t xml:space="preserve"> </w:t>
      </w:r>
      <w:r w:rsidR="009D291F" w:rsidRPr="00B1350E">
        <w:rPr>
          <w:rFonts w:ascii="Arial" w:hAnsi="Arial" w:cs="Arial"/>
          <w:sz w:val="24"/>
          <w:szCs w:val="24"/>
        </w:rPr>
        <w:t>provide</w:t>
      </w:r>
      <w:r w:rsidR="006034DB" w:rsidRPr="00B1350E">
        <w:rPr>
          <w:rFonts w:ascii="Arial" w:hAnsi="Arial" w:cs="Arial"/>
          <w:sz w:val="24"/>
          <w:szCs w:val="24"/>
        </w:rPr>
        <w:t xml:space="preserve"> </w:t>
      </w:r>
      <w:r w:rsidRPr="00B1350E">
        <w:rPr>
          <w:rFonts w:ascii="Arial" w:hAnsi="Arial" w:cs="Arial"/>
          <w:sz w:val="24"/>
          <w:szCs w:val="24"/>
        </w:rPr>
        <w:t xml:space="preserve">systematic </w:t>
      </w:r>
      <w:r w:rsidR="00AD69F4">
        <w:rPr>
          <w:rFonts w:ascii="Arial" w:hAnsi="Arial" w:cs="Arial"/>
          <w:sz w:val="24"/>
          <w:szCs w:val="24"/>
        </w:rPr>
        <w:t>points</w:t>
      </w:r>
      <w:r w:rsidRPr="00B1350E">
        <w:rPr>
          <w:rFonts w:ascii="Arial" w:hAnsi="Arial" w:cs="Arial"/>
          <w:sz w:val="24"/>
          <w:szCs w:val="24"/>
        </w:rPr>
        <w:t xml:space="preserve"> </w:t>
      </w:r>
      <w:r w:rsidR="00C33F90" w:rsidRPr="00B1350E">
        <w:rPr>
          <w:rFonts w:ascii="Arial" w:hAnsi="Arial" w:cs="Arial"/>
          <w:sz w:val="24"/>
          <w:szCs w:val="24"/>
        </w:rPr>
        <w:t xml:space="preserve">for reflection and adaptation as appropriate.  Second, the process </w:t>
      </w:r>
      <w:r w:rsidR="009E2413">
        <w:rPr>
          <w:rFonts w:ascii="Arial" w:hAnsi="Arial" w:cs="Arial"/>
          <w:sz w:val="24"/>
          <w:szCs w:val="24"/>
        </w:rPr>
        <w:t>was designed to be</w:t>
      </w:r>
      <w:r w:rsidR="00DB1368" w:rsidRPr="00B1350E">
        <w:rPr>
          <w:rFonts w:ascii="Arial" w:hAnsi="Arial" w:cs="Arial"/>
          <w:sz w:val="24"/>
          <w:szCs w:val="24"/>
        </w:rPr>
        <w:t xml:space="preserve"> </w:t>
      </w:r>
      <w:r w:rsidR="00C33F90" w:rsidRPr="00B1350E">
        <w:rPr>
          <w:rFonts w:ascii="Arial" w:hAnsi="Arial" w:cs="Arial"/>
          <w:sz w:val="24"/>
          <w:szCs w:val="24"/>
        </w:rPr>
        <w:t>participat</w:t>
      </w:r>
      <w:r w:rsidR="00DB1368" w:rsidRPr="00B1350E">
        <w:rPr>
          <w:rFonts w:ascii="Arial" w:hAnsi="Arial" w:cs="Arial"/>
          <w:sz w:val="24"/>
          <w:szCs w:val="24"/>
        </w:rPr>
        <w:t>ory</w:t>
      </w:r>
      <w:r w:rsidR="00C33F90" w:rsidRPr="00B1350E">
        <w:rPr>
          <w:rFonts w:ascii="Arial" w:hAnsi="Arial" w:cs="Arial"/>
          <w:sz w:val="24"/>
          <w:szCs w:val="24"/>
        </w:rPr>
        <w:t xml:space="preserve">. </w:t>
      </w:r>
      <w:r w:rsidR="009E2413">
        <w:rPr>
          <w:rFonts w:ascii="Arial" w:hAnsi="Arial" w:cs="Arial"/>
          <w:sz w:val="24"/>
          <w:szCs w:val="24"/>
        </w:rPr>
        <w:t xml:space="preserve"> </w:t>
      </w:r>
      <w:r w:rsidR="00C33F90" w:rsidRPr="00B1350E">
        <w:rPr>
          <w:rFonts w:ascii="Arial" w:hAnsi="Arial" w:cs="Arial"/>
          <w:sz w:val="24"/>
          <w:szCs w:val="24"/>
        </w:rPr>
        <w:t>States would drive the content</w:t>
      </w:r>
      <w:r w:rsidR="006034DB" w:rsidRPr="00B1350E">
        <w:rPr>
          <w:rFonts w:ascii="Arial" w:hAnsi="Arial" w:cs="Arial"/>
          <w:sz w:val="24"/>
          <w:szCs w:val="24"/>
        </w:rPr>
        <w:t xml:space="preserve"> while </w:t>
      </w:r>
      <w:r w:rsidR="00C33F90" w:rsidRPr="00B1350E">
        <w:rPr>
          <w:rFonts w:ascii="Arial" w:hAnsi="Arial" w:cs="Arial"/>
          <w:sz w:val="24"/>
          <w:szCs w:val="24"/>
        </w:rPr>
        <w:t xml:space="preserve">IMLS </w:t>
      </w:r>
      <w:r w:rsidR="0097358E">
        <w:rPr>
          <w:rFonts w:ascii="Arial" w:hAnsi="Arial" w:cs="Arial"/>
          <w:sz w:val="24"/>
          <w:szCs w:val="24"/>
        </w:rPr>
        <w:t>would take</w:t>
      </w:r>
      <w:r w:rsidR="006034DB" w:rsidRPr="00B1350E">
        <w:rPr>
          <w:rFonts w:ascii="Arial" w:hAnsi="Arial" w:cs="Arial"/>
          <w:sz w:val="24"/>
          <w:szCs w:val="24"/>
        </w:rPr>
        <w:t xml:space="preserve"> </w:t>
      </w:r>
      <w:r w:rsidRPr="00B1350E">
        <w:rPr>
          <w:rFonts w:ascii="Arial" w:hAnsi="Arial" w:cs="Arial"/>
          <w:sz w:val="24"/>
          <w:szCs w:val="24"/>
        </w:rPr>
        <w:t>a</w:t>
      </w:r>
      <w:r w:rsidR="00C87909" w:rsidRPr="00B1350E">
        <w:rPr>
          <w:rFonts w:ascii="Arial" w:hAnsi="Arial" w:cs="Arial"/>
          <w:sz w:val="24"/>
          <w:szCs w:val="24"/>
        </w:rPr>
        <w:t>n active</w:t>
      </w:r>
      <w:r w:rsidR="006034DB" w:rsidRPr="00B1350E">
        <w:rPr>
          <w:rFonts w:ascii="Arial" w:hAnsi="Arial" w:cs="Arial"/>
          <w:sz w:val="24"/>
          <w:szCs w:val="24"/>
        </w:rPr>
        <w:t xml:space="preserve"> </w:t>
      </w:r>
      <w:r w:rsidR="00C33F90" w:rsidRPr="00B1350E">
        <w:rPr>
          <w:rFonts w:ascii="Arial" w:hAnsi="Arial" w:cs="Arial"/>
          <w:sz w:val="24"/>
          <w:szCs w:val="24"/>
        </w:rPr>
        <w:t>facilitating role.  Additional external stakeholders, such as experts in methodology, would be brought in as circumstances warranted.</w:t>
      </w:r>
    </w:p>
    <w:p w:rsidR="00CD00CA" w:rsidRPr="00B1350E" w:rsidRDefault="00D33B47" w:rsidP="008D59F8">
      <w:pPr>
        <w:pStyle w:val="Body1"/>
        <w:spacing w:before="120" w:after="120" w:line="360" w:lineRule="auto"/>
        <w:rPr>
          <w:rFonts w:ascii="Arial" w:hAnsi="Arial" w:cs="Arial"/>
          <w:sz w:val="24"/>
          <w:szCs w:val="24"/>
        </w:rPr>
      </w:pPr>
      <w:r w:rsidRPr="00B1350E">
        <w:rPr>
          <w:rFonts w:ascii="Arial" w:hAnsi="Arial" w:cs="Arial"/>
          <w:sz w:val="24"/>
          <w:szCs w:val="24"/>
        </w:rPr>
        <w:t xml:space="preserve">As the overriding vision </w:t>
      </w:r>
      <w:r w:rsidR="004B764F" w:rsidRPr="00B1350E">
        <w:rPr>
          <w:rFonts w:ascii="Arial" w:hAnsi="Arial" w:cs="Arial"/>
          <w:sz w:val="24"/>
          <w:szCs w:val="24"/>
        </w:rPr>
        <w:t>for</w:t>
      </w:r>
      <w:r w:rsidRPr="00B1350E">
        <w:rPr>
          <w:rFonts w:ascii="Arial" w:hAnsi="Arial" w:cs="Arial"/>
          <w:sz w:val="24"/>
          <w:szCs w:val="24"/>
        </w:rPr>
        <w:t xml:space="preserve"> </w:t>
      </w:r>
      <w:r w:rsidRPr="00B1350E">
        <w:rPr>
          <w:rFonts w:ascii="Arial" w:hAnsi="Arial" w:cs="Arial"/>
          <w:i/>
          <w:sz w:val="24"/>
          <w:szCs w:val="24"/>
        </w:rPr>
        <w:t>Measuring Success</w:t>
      </w:r>
      <w:r w:rsidRPr="00B1350E">
        <w:rPr>
          <w:rFonts w:ascii="Arial" w:hAnsi="Arial" w:cs="Arial"/>
          <w:sz w:val="24"/>
          <w:szCs w:val="24"/>
        </w:rPr>
        <w:t xml:space="preserve"> was communicated, attention turned towards </w:t>
      </w:r>
      <w:r w:rsidR="00D13225" w:rsidRPr="00B1350E">
        <w:rPr>
          <w:rFonts w:ascii="Arial" w:hAnsi="Arial" w:cs="Arial"/>
          <w:sz w:val="24"/>
          <w:szCs w:val="24"/>
        </w:rPr>
        <w:t xml:space="preserve">the first phase in </w:t>
      </w:r>
      <w:r w:rsidR="00313A4F" w:rsidRPr="00B1350E">
        <w:rPr>
          <w:rFonts w:ascii="Arial" w:hAnsi="Arial" w:cs="Arial"/>
          <w:sz w:val="24"/>
          <w:szCs w:val="24"/>
        </w:rPr>
        <w:t>design</w:t>
      </w:r>
      <w:r w:rsidR="00DB1368" w:rsidRPr="00B1350E">
        <w:rPr>
          <w:rFonts w:ascii="Arial" w:hAnsi="Arial" w:cs="Arial"/>
          <w:sz w:val="24"/>
          <w:szCs w:val="24"/>
        </w:rPr>
        <w:t>ing</w:t>
      </w:r>
      <w:r w:rsidR="00313A4F" w:rsidRPr="00B1350E">
        <w:rPr>
          <w:rFonts w:ascii="Arial" w:hAnsi="Arial" w:cs="Arial"/>
          <w:sz w:val="24"/>
          <w:szCs w:val="24"/>
        </w:rPr>
        <w:t xml:space="preserve"> the new evaluation system</w:t>
      </w:r>
      <w:r w:rsidRPr="00B1350E">
        <w:rPr>
          <w:rFonts w:ascii="Arial" w:hAnsi="Arial" w:cs="Arial"/>
          <w:sz w:val="24"/>
          <w:szCs w:val="24"/>
        </w:rPr>
        <w:t xml:space="preserve">.  </w:t>
      </w:r>
      <w:r w:rsidR="00AE75BC" w:rsidRPr="00B1350E">
        <w:rPr>
          <w:rFonts w:ascii="Arial" w:hAnsi="Arial" w:cs="Arial"/>
          <w:sz w:val="24"/>
          <w:szCs w:val="24"/>
        </w:rPr>
        <w:t>F</w:t>
      </w:r>
      <w:r w:rsidR="00313A4F" w:rsidRPr="00B1350E">
        <w:rPr>
          <w:rFonts w:ascii="Arial" w:hAnsi="Arial" w:cs="Arial"/>
          <w:sz w:val="24"/>
          <w:szCs w:val="24"/>
        </w:rPr>
        <w:t>our</w:t>
      </w:r>
      <w:r w:rsidR="004D3901" w:rsidRPr="00B1350E">
        <w:rPr>
          <w:rFonts w:ascii="Arial" w:hAnsi="Arial" w:cs="Arial"/>
          <w:sz w:val="24"/>
          <w:szCs w:val="24"/>
        </w:rPr>
        <w:t xml:space="preserve"> sequential steps</w:t>
      </w:r>
      <w:r w:rsidR="00AE75BC" w:rsidRPr="00B1350E">
        <w:rPr>
          <w:rFonts w:ascii="Arial" w:hAnsi="Arial" w:cs="Arial"/>
          <w:sz w:val="24"/>
          <w:szCs w:val="24"/>
        </w:rPr>
        <w:t xml:space="preserve"> were initially planned</w:t>
      </w:r>
      <w:r w:rsidR="006034DB" w:rsidRPr="00B1350E">
        <w:rPr>
          <w:rFonts w:ascii="Arial" w:hAnsi="Arial" w:cs="Arial"/>
          <w:sz w:val="24"/>
          <w:szCs w:val="24"/>
        </w:rPr>
        <w:t xml:space="preserve">: (1) </w:t>
      </w:r>
      <w:r w:rsidR="00C33F90" w:rsidRPr="00B1350E">
        <w:rPr>
          <w:rFonts w:ascii="Arial" w:hAnsi="Arial" w:cs="Arial"/>
          <w:sz w:val="24"/>
          <w:szCs w:val="24"/>
        </w:rPr>
        <w:t>kick-off</w:t>
      </w:r>
      <w:r w:rsidR="00E849E6" w:rsidRPr="00B1350E">
        <w:rPr>
          <w:rFonts w:ascii="Arial" w:hAnsi="Arial" w:cs="Arial"/>
          <w:sz w:val="24"/>
          <w:szCs w:val="24"/>
        </w:rPr>
        <w:t xml:space="preserve"> at the March 2011 meeting</w:t>
      </w:r>
      <w:r w:rsidR="006034DB" w:rsidRPr="00B1350E">
        <w:rPr>
          <w:rFonts w:ascii="Arial" w:hAnsi="Arial" w:cs="Arial"/>
          <w:sz w:val="24"/>
          <w:szCs w:val="24"/>
        </w:rPr>
        <w:t>,</w:t>
      </w:r>
      <w:r w:rsidR="006759E4" w:rsidRPr="00B1350E">
        <w:rPr>
          <w:rFonts w:ascii="Arial" w:hAnsi="Arial" w:cs="Arial"/>
          <w:sz w:val="24"/>
          <w:szCs w:val="24"/>
        </w:rPr>
        <w:t xml:space="preserve"> </w:t>
      </w:r>
      <w:r w:rsidR="006034DB" w:rsidRPr="00B1350E">
        <w:rPr>
          <w:rFonts w:ascii="Arial" w:hAnsi="Arial" w:cs="Arial"/>
          <w:sz w:val="24"/>
          <w:szCs w:val="24"/>
        </w:rPr>
        <w:t xml:space="preserve">(2) </w:t>
      </w:r>
      <w:r w:rsidR="006D1F66" w:rsidRPr="00B1350E">
        <w:rPr>
          <w:rFonts w:ascii="Arial" w:hAnsi="Arial" w:cs="Arial"/>
          <w:sz w:val="24"/>
          <w:szCs w:val="24"/>
        </w:rPr>
        <w:t>“</w:t>
      </w:r>
      <w:r w:rsidR="004D3901" w:rsidRPr="00B1350E">
        <w:rPr>
          <w:rFonts w:ascii="Arial" w:hAnsi="Arial" w:cs="Arial"/>
          <w:sz w:val="24"/>
          <w:szCs w:val="24"/>
        </w:rPr>
        <w:t xml:space="preserve">backward logic mapping,” </w:t>
      </w:r>
      <w:r w:rsidR="006034DB" w:rsidRPr="00B1350E">
        <w:rPr>
          <w:rFonts w:ascii="Arial" w:hAnsi="Arial" w:cs="Arial"/>
          <w:sz w:val="24"/>
          <w:szCs w:val="24"/>
        </w:rPr>
        <w:t>(3</w:t>
      </w:r>
      <w:r w:rsidR="006759E4" w:rsidRPr="00B1350E">
        <w:rPr>
          <w:rFonts w:ascii="Arial" w:hAnsi="Arial" w:cs="Arial"/>
          <w:sz w:val="24"/>
          <w:szCs w:val="24"/>
        </w:rPr>
        <w:t>) “</w:t>
      </w:r>
      <w:r w:rsidR="004D3901" w:rsidRPr="00B1350E">
        <w:rPr>
          <w:rFonts w:ascii="Arial" w:hAnsi="Arial" w:cs="Arial"/>
          <w:sz w:val="24"/>
          <w:szCs w:val="24"/>
        </w:rPr>
        <w:t xml:space="preserve">forward logic mapping,” and </w:t>
      </w:r>
      <w:r w:rsidR="006034DB" w:rsidRPr="00B1350E">
        <w:rPr>
          <w:rFonts w:ascii="Arial" w:hAnsi="Arial" w:cs="Arial"/>
          <w:sz w:val="24"/>
          <w:szCs w:val="24"/>
        </w:rPr>
        <w:t xml:space="preserve">(4) </w:t>
      </w:r>
      <w:r w:rsidR="004D3901" w:rsidRPr="00B1350E">
        <w:rPr>
          <w:rFonts w:ascii="Arial" w:hAnsi="Arial" w:cs="Arial"/>
          <w:sz w:val="24"/>
          <w:szCs w:val="24"/>
        </w:rPr>
        <w:t xml:space="preserve">creation </w:t>
      </w:r>
      <w:r w:rsidR="00313A4F" w:rsidRPr="00B1350E">
        <w:rPr>
          <w:rFonts w:ascii="Arial" w:hAnsi="Arial" w:cs="Arial"/>
          <w:sz w:val="24"/>
          <w:szCs w:val="24"/>
        </w:rPr>
        <w:t xml:space="preserve">of assessment frameworks.  </w:t>
      </w:r>
      <w:r w:rsidR="00013A26" w:rsidRPr="00B1350E">
        <w:rPr>
          <w:rFonts w:ascii="Arial" w:hAnsi="Arial" w:cs="Arial"/>
          <w:sz w:val="24"/>
          <w:szCs w:val="24"/>
        </w:rPr>
        <w:t xml:space="preserve">At </w:t>
      </w:r>
      <w:r w:rsidR="00E849E6" w:rsidRPr="00B1350E">
        <w:rPr>
          <w:rFonts w:ascii="Arial" w:hAnsi="Arial" w:cs="Arial"/>
          <w:sz w:val="24"/>
          <w:szCs w:val="24"/>
        </w:rPr>
        <w:t>this time</w:t>
      </w:r>
      <w:r w:rsidR="00013A26" w:rsidRPr="00B1350E">
        <w:rPr>
          <w:rFonts w:ascii="Arial" w:hAnsi="Arial" w:cs="Arial"/>
          <w:sz w:val="24"/>
          <w:szCs w:val="24"/>
        </w:rPr>
        <w:t xml:space="preserve">, </w:t>
      </w:r>
      <w:r w:rsidR="00E849E6" w:rsidRPr="00B1350E">
        <w:rPr>
          <w:rFonts w:ascii="Arial" w:hAnsi="Arial" w:cs="Arial"/>
          <w:sz w:val="24"/>
          <w:szCs w:val="24"/>
        </w:rPr>
        <w:t xml:space="preserve">basic </w:t>
      </w:r>
      <w:r w:rsidR="00013A26" w:rsidRPr="00B1350E">
        <w:rPr>
          <w:rFonts w:ascii="Arial" w:hAnsi="Arial" w:cs="Arial"/>
          <w:sz w:val="24"/>
          <w:szCs w:val="24"/>
        </w:rPr>
        <w:t>features of the new design are near</w:t>
      </w:r>
      <w:r w:rsidR="00E83BA1" w:rsidRPr="00B1350E">
        <w:rPr>
          <w:rFonts w:ascii="Arial" w:hAnsi="Arial" w:cs="Arial"/>
          <w:sz w:val="24"/>
          <w:szCs w:val="24"/>
        </w:rPr>
        <w:t>ly complete</w:t>
      </w:r>
      <w:r w:rsidR="00D13225" w:rsidRPr="00B1350E">
        <w:rPr>
          <w:rFonts w:ascii="Arial" w:hAnsi="Arial" w:cs="Arial"/>
          <w:sz w:val="24"/>
          <w:szCs w:val="24"/>
        </w:rPr>
        <w:t xml:space="preserve"> and are the focus of the </w:t>
      </w:r>
      <w:r w:rsidR="00AD69F4">
        <w:rPr>
          <w:rFonts w:ascii="Arial" w:hAnsi="Arial" w:cs="Arial"/>
          <w:sz w:val="24"/>
          <w:szCs w:val="24"/>
        </w:rPr>
        <w:t>remainder of this</w:t>
      </w:r>
      <w:r w:rsidR="00D13225" w:rsidRPr="00B1350E">
        <w:rPr>
          <w:rFonts w:ascii="Arial" w:hAnsi="Arial" w:cs="Arial"/>
          <w:sz w:val="24"/>
          <w:szCs w:val="24"/>
        </w:rPr>
        <w:t xml:space="preserve"> section</w:t>
      </w:r>
      <w:r w:rsidR="00013A26" w:rsidRPr="00B1350E">
        <w:rPr>
          <w:rFonts w:ascii="Arial" w:hAnsi="Arial" w:cs="Arial"/>
          <w:sz w:val="24"/>
          <w:szCs w:val="24"/>
        </w:rPr>
        <w:t>.</w:t>
      </w:r>
    </w:p>
    <w:p w:rsidR="008C2180" w:rsidRPr="00AD69F4" w:rsidRDefault="008C2180" w:rsidP="008D59F8">
      <w:pPr>
        <w:pStyle w:val="Body1"/>
        <w:spacing w:before="120" w:after="120" w:line="360" w:lineRule="auto"/>
        <w:rPr>
          <w:rFonts w:ascii="Arial" w:hAnsi="Arial" w:cs="Arial"/>
          <w:b/>
          <w:sz w:val="24"/>
          <w:szCs w:val="24"/>
        </w:rPr>
      </w:pPr>
      <w:r w:rsidRPr="00AD69F4">
        <w:rPr>
          <w:rFonts w:ascii="Arial" w:hAnsi="Arial" w:cs="Arial"/>
          <w:b/>
          <w:sz w:val="24"/>
          <w:szCs w:val="24"/>
        </w:rPr>
        <w:t>Kick-Off</w:t>
      </w:r>
    </w:p>
    <w:p w:rsidR="00140CAB" w:rsidRPr="00B1350E" w:rsidRDefault="00E849E6" w:rsidP="008D59F8">
      <w:pPr>
        <w:pStyle w:val="Body1"/>
        <w:spacing w:before="120" w:after="120" w:line="360" w:lineRule="auto"/>
        <w:rPr>
          <w:rFonts w:ascii="Arial" w:hAnsi="Arial" w:cs="Arial"/>
          <w:sz w:val="24"/>
          <w:szCs w:val="24"/>
        </w:rPr>
      </w:pPr>
      <w:r w:rsidRPr="00B1350E">
        <w:rPr>
          <w:rFonts w:ascii="Arial" w:hAnsi="Arial" w:cs="Arial"/>
          <w:sz w:val="24"/>
          <w:szCs w:val="24"/>
        </w:rPr>
        <w:t>T</w:t>
      </w:r>
      <w:r w:rsidR="00DB1368" w:rsidRPr="00B1350E">
        <w:rPr>
          <w:rFonts w:ascii="Arial" w:hAnsi="Arial" w:cs="Arial"/>
          <w:sz w:val="24"/>
          <w:szCs w:val="24"/>
        </w:rPr>
        <w:t>he</w:t>
      </w:r>
      <w:r w:rsidR="006034DB" w:rsidRPr="00B1350E">
        <w:rPr>
          <w:rFonts w:ascii="Arial" w:hAnsi="Arial" w:cs="Arial"/>
          <w:sz w:val="24"/>
          <w:szCs w:val="24"/>
        </w:rPr>
        <w:t xml:space="preserve"> March</w:t>
      </w:r>
      <w:r w:rsidR="00C33F90" w:rsidRPr="00B1350E">
        <w:rPr>
          <w:rFonts w:ascii="Arial" w:hAnsi="Arial" w:cs="Arial"/>
          <w:sz w:val="24"/>
          <w:szCs w:val="24"/>
        </w:rPr>
        <w:t xml:space="preserve"> </w:t>
      </w:r>
      <w:r w:rsidR="006034DB" w:rsidRPr="00B1350E">
        <w:rPr>
          <w:rFonts w:ascii="Arial" w:hAnsi="Arial" w:cs="Arial"/>
          <w:sz w:val="24"/>
          <w:szCs w:val="24"/>
        </w:rPr>
        <w:t xml:space="preserve">2011 </w:t>
      </w:r>
      <w:r w:rsidR="00C33F90" w:rsidRPr="00B1350E">
        <w:rPr>
          <w:rFonts w:ascii="Arial" w:hAnsi="Arial" w:cs="Arial"/>
          <w:sz w:val="24"/>
          <w:szCs w:val="24"/>
        </w:rPr>
        <w:t xml:space="preserve">annual meeting of SLAA </w:t>
      </w:r>
      <w:r w:rsidRPr="00B1350E">
        <w:rPr>
          <w:rFonts w:ascii="Arial" w:hAnsi="Arial" w:cs="Arial"/>
          <w:sz w:val="24"/>
          <w:szCs w:val="24"/>
        </w:rPr>
        <w:t xml:space="preserve">staff </w:t>
      </w:r>
      <w:r w:rsidR="009E2413">
        <w:rPr>
          <w:rFonts w:ascii="Arial" w:hAnsi="Arial" w:cs="Arial"/>
          <w:sz w:val="24"/>
          <w:szCs w:val="24"/>
        </w:rPr>
        <w:t xml:space="preserve">was comprised </w:t>
      </w:r>
      <w:r w:rsidRPr="00B1350E">
        <w:rPr>
          <w:rFonts w:ascii="Arial" w:hAnsi="Arial" w:cs="Arial"/>
          <w:sz w:val="24"/>
          <w:szCs w:val="24"/>
        </w:rPr>
        <w:t xml:space="preserve">predominantly </w:t>
      </w:r>
      <w:r w:rsidR="009E2413">
        <w:rPr>
          <w:rFonts w:ascii="Arial" w:hAnsi="Arial" w:cs="Arial"/>
          <w:sz w:val="24"/>
          <w:szCs w:val="24"/>
        </w:rPr>
        <w:t xml:space="preserve">of </w:t>
      </w:r>
      <w:r w:rsidRPr="00B1350E">
        <w:rPr>
          <w:rFonts w:ascii="Arial" w:hAnsi="Arial" w:cs="Arial"/>
          <w:sz w:val="24"/>
          <w:szCs w:val="24"/>
        </w:rPr>
        <w:t>SLAA directors (</w:t>
      </w:r>
      <w:r w:rsidR="00AF2903">
        <w:rPr>
          <w:rFonts w:ascii="Arial" w:hAnsi="Arial" w:cs="Arial"/>
          <w:sz w:val="24"/>
          <w:szCs w:val="24"/>
        </w:rPr>
        <w:t>c</w:t>
      </w:r>
      <w:r w:rsidRPr="00B1350E">
        <w:rPr>
          <w:rFonts w:ascii="Arial" w:hAnsi="Arial" w:cs="Arial"/>
          <w:sz w:val="24"/>
          <w:szCs w:val="24"/>
        </w:rPr>
        <w:t>hiefs), state grant coordinators, and other senior SLAA professionals</w:t>
      </w:r>
      <w:r w:rsidR="006034DB" w:rsidRPr="00B1350E">
        <w:rPr>
          <w:rFonts w:ascii="Arial" w:hAnsi="Arial" w:cs="Arial"/>
          <w:sz w:val="24"/>
          <w:szCs w:val="24"/>
        </w:rPr>
        <w:t>.  The event was structured to engage</w:t>
      </w:r>
      <w:r w:rsidRPr="00B1350E">
        <w:rPr>
          <w:rFonts w:ascii="Arial" w:hAnsi="Arial" w:cs="Arial"/>
          <w:sz w:val="24"/>
          <w:szCs w:val="24"/>
        </w:rPr>
        <w:t xml:space="preserve"> the SLAAs as</w:t>
      </w:r>
      <w:r w:rsidR="006034DB" w:rsidRPr="00B1350E">
        <w:rPr>
          <w:rFonts w:ascii="Arial" w:hAnsi="Arial" w:cs="Arial"/>
          <w:sz w:val="24"/>
          <w:szCs w:val="24"/>
        </w:rPr>
        <w:t xml:space="preserve"> partners in </w:t>
      </w:r>
      <w:r w:rsidRPr="00B1350E">
        <w:rPr>
          <w:rFonts w:ascii="Arial" w:hAnsi="Arial" w:cs="Arial"/>
          <w:sz w:val="24"/>
          <w:szCs w:val="24"/>
        </w:rPr>
        <w:t xml:space="preserve">a process </w:t>
      </w:r>
      <w:r w:rsidR="006034DB" w:rsidRPr="00B1350E">
        <w:rPr>
          <w:rFonts w:ascii="Arial" w:hAnsi="Arial" w:cs="Arial"/>
          <w:sz w:val="24"/>
          <w:szCs w:val="24"/>
        </w:rPr>
        <w:t xml:space="preserve">with which </w:t>
      </w:r>
      <w:r w:rsidR="00140CAB" w:rsidRPr="00B1350E">
        <w:rPr>
          <w:rFonts w:ascii="Arial" w:hAnsi="Arial" w:cs="Arial"/>
          <w:sz w:val="24"/>
          <w:szCs w:val="24"/>
        </w:rPr>
        <w:t>participants had some familiarity</w:t>
      </w:r>
      <w:r w:rsidRPr="00B1350E">
        <w:rPr>
          <w:rFonts w:ascii="Arial" w:hAnsi="Arial" w:cs="Arial"/>
          <w:sz w:val="24"/>
          <w:szCs w:val="24"/>
        </w:rPr>
        <w:t xml:space="preserve">.  </w:t>
      </w:r>
      <w:r w:rsidR="00140CAB" w:rsidRPr="00B1350E">
        <w:rPr>
          <w:rFonts w:ascii="Arial" w:hAnsi="Arial" w:cs="Arial"/>
          <w:sz w:val="24"/>
          <w:szCs w:val="24"/>
        </w:rPr>
        <w:t xml:space="preserve">SLAA participants were broken into </w:t>
      </w:r>
      <w:r w:rsidR="000902BC" w:rsidRPr="00B1350E">
        <w:rPr>
          <w:rFonts w:ascii="Arial" w:hAnsi="Arial" w:cs="Arial"/>
          <w:sz w:val="24"/>
          <w:szCs w:val="24"/>
        </w:rPr>
        <w:t xml:space="preserve">four </w:t>
      </w:r>
      <w:r w:rsidR="00140CAB" w:rsidRPr="00B1350E">
        <w:rPr>
          <w:rFonts w:ascii="Arial" w:hAnsi="Arial" w:cs="Arial"/>
          <w:sz w:val="24"/>
          <w:szCs w:val="24"/>
        </w:rPr>
        <w:t xml:space="preserve">groups that </w:t>
      </w:r>
      <w:r w:rsidR="000902BC" w:rsidRPr="00B1350E">
        <w:rPr>
          <w:rFonts w:ascii="Arial" w:hAnsi="Arial" w:cs="Arial"/>
          <w:sz w:val="24"/>
          <w:szCs w:val="24"/>
        </w:rPr>
        <w:t xml:space="preserve">reflected </w:t>
      </w:r>
      <w:r w:rsidR="00334F9F" w:rsidRPr="00B1350E">
        <w:rPr>
          <w:rFonts w:ascii="Arial" w:hAnsi="Arial" w:cs="Arial"/>
          <w:sz w:val="24"/>
          <w:szCs w:val="24"/>
        </w:rPr>
        <w:t>s</w:t>
      </w:r>
      <w:r w:rsidR="00140CAB" w:rsidRPr="00B1350E">
        <w:rPr>
          <w:rFonts w:ascii="Arial" w:hAnsi="Arial" w:cs="Arial"/>
          <w:sz w:val="24"/>
          <w:szCs w:val="24"/>
        </w:rPr>
        <w:t xml:space="preserve">ix </w:t>
      </w:r>
      <w:r w:rsidR="00DB1368" w:rsidRPr="00B1350E">
        <w:rPr>
          <w:rFonts w:ascii="Arial" w:hAnsi="Arial" w:cs="Arial"/>
          <w:sz w:val="24"/>
          <w:szCs w:val="24"/>
        </w:rPr>
        <w:t xml:space="preserve">of eight </w:t>
      </w:r>
      <w:r w:rsidR="00140CAB" w:rsidRPr="00B1350E">
        <w:rPr>
          <w:rFonts w:ascii="Arial" w:hAnsi="Arial" w:cs="Arial"/>
          <w:sz w:val="24"/>
          <w:szCs w:val="24"/>
        </w:rPr>
        <w:t xml:space="preserve">major priorities spelled out in the new </w:t>
      </w:r>
      <w:r w:rsidR="00313A4F" w:rsidRPr="00B1350E">
        <w:rPr>
          <w:rFonts w:ascii="Arial" w:hAnsi="Arial" w:cs="Arial"/>
          <w:sz w:val="24"/>
          <w:szCs w:val="24"/>
        </w:rPr>
        <w:t xml:space="preserve">federal </w:t>
      </w:r>
      <w:r w:rsidR="00140CAB" w:rsidRPr="00B1350E">
        <w:rPr>
          <w:rFonts w:ascii="Arial" w:hAnsi="Arial" w:cs="Arial"/>
          <w:sz w:val="24"/>
          <w:szCs w:val="24"/>
        </w:rPr>
        <w:t>legislation</w:t>
      </w:r>
      <w:r w:rsidR="00C87909" w:rsidRPr="00B1350E">
        <w:rPr>
          <w:rFonts w:ascii="Arial" w:hAnsi="Arial" w:cs="Arial"/>
          <w:sz w:val="24"/>
          <w:szCs w:val="24"/>
        </w:rPr>
        <w:t xml:space="preserve"> summarized in Table 1 below</w:t>
      </w:r>
      <w:r w:rsidR="00140CAB" w:rsidRPr="00B1350E">
        <w:rPr>
          <w:rFonts w:ascii="Arial" w:hAnsi="Arial" w:cs="Arial"/>
          <w:sz w:val="24"/>
          <w:szCs w:val="24"/>
        </w:rPr>
        <w:t>.</w:t>
      </w:r>
      <w:r w:rsidR="00396E0A" w:rsidRPr="00B1350E">
        <w:rPr>
          <w:rStyle w:val="FootnoteReference"/>
          <w:rFonts w:ascii="Arial" w:hAnsi="Arial" w:cs="Arial"/>
          <w:sz w:val="24"/>
          <w:szCs w:val="24"/>
        </w:rPr>
        <w:footnoteReference w:id="5"/>
      </w:r>
      <w:r w:rsidR="00396E0A" w:rsidRPr="00B1350E">
        <w:rPr>
          <w:rFonts w:ascii="Arial" w:hAnsi="Arial" w:cs="Arial"/>
          <w:sz w:val="24"/>
          <w:szCs w:val="24"/>
        </w:rPr>
        <w:t xml:space="preserve">  </w:t>
      </w:r>
    </w:p>
    <w:p w:rsidR="0099469A" w:rsidRPr="00613CE2" w:rsidRDefault="00613CE2" w:rsidP="00613CE2">
      <w:pPr>
        <w:pStyle w:val="Default"/>
        <w:rPr>
          <w:rFonts w:ascii="Arial" w:hAnsi="Arial" w:cs="Arial"/>
          <w:b/>
          <w:i/>
          <w:u w:val="single"/>
        </w:rPr>
      </w:pPr>
      <w:r w:rsidRPr="00613CE2">
        <w:rPr>
          <w:rFonts w:ascii="Arial" w:hAnsi="Arial" w:cs="Arial"/>
          <w:b/>
          <w:i/>
          <w:u w:val="single"/>
        </w:rPr>
        <w:t>Insert Table 1</w:t>
      </w:r>
    </w:p>
    <w:p w:rsidR="00613CE2" w:rsidRDefault="00613CE2" w:rsidP="00613CE2">
      <w:pPr>
        <w:pStyle w:val="Default"/>
        <w:rPr>
          <w:rFonts w:ascii="Arial" w:hAnsi="Arial" w:cs="Arial"/>
        </w:rPr>
      </w:pPr>
    </w:p>
    <w:p w:rsidR="00396E0A" w:rsidRDefault="00396E0A" w:rsidP="008D59F8">
      <w:pPr>
        <w:pStyle w:val="Body1"/>
        <w:spacing w:before="120" w:after="120" w:line="360" w:lineRule="auto"/>
        <w:rPr>
          <w:rFonts w:ascii="Arial" w:hAnsi="Arial" w:cs="Arial"/>
          <w:sz w:val="24"/>
          <w:szCs w:val="24"/>
        </w:rPr>
      </w:pPr>
      <w:r w:rsidRPr="00B1350E">
        <w:rPr>
          <w:rFonts w:ascii="Arial" w:hAnsi="Arial" w:cs="Arial"/>
          <w:sz w:val="24"/>
          <w:szCs w:val="24"/>
        </w:rPr>
        <w:t xml:space="preserve">Each team contained about 25 </w:t>
      </w:r>
      <w:r w:rsidR="00334F9F" w:rsidRPr="00B1350E">
        <w:rPr>
          <w:rFonts w:ascii="Arial" w:hAnsi="Arial" w:cs="Arial"/>
          <w:sz w:val="24"/>
          <w:szCs w:val="24"/>
        </w:rPr>
        <w:t xml:space="preserve">SLAA </w:t>
      </w:r>
      <w:r w:rsidRPr="00B1350E">
        <w:rPr>
          <w:rFonts w:ascii="Arial" w:hAnsi="Arial" w:cs="Arial"/>
          <w:sz w:val="24"/>
          <w:szCs w:val="24"/>
        </w:rPr>
        <w:t>participant</w:t>
      </w:r>
      <w:r w:rsidR="00F00B76" w:rsidRPr="00B1350E">
        <w:rPr>
          <w:rFonts w:ascii="Arial" w:hAnsi="Arial" w:cs="Arial"/>
          <w:sz w:val="24"/>
          <w:szCs w:val="24"/>
        </w:rPr>
        <w:t>s</w:t>
      </w:r>
      <w:r w:rsidR="0028277D" w:rsidRPr="00B1350E">
        <w:rPr>
          <w:rFonts w:ascii="Arial" w:hAnsi="Arial" w:cs="Arial"/>
          <w:sz w:val="24"/>
          <w:szCs w:val="24"/>
        </w:rPr>
        <w:t xml:space="preserve"> and t</w:t>
      </w:r>
      <w:r w:rsidRPr="00B1350E">
        <w:rPr>
          <w:rFonts w:ascii="Arial" w:hAnsi="Arial" w:cs="Arial"/>
          <w:sz w:val="24"/>
          <w:szCs w:val="24"/>
        </w:rPr>
        <w:t>wo IMLS facilitators</w:t>
      </w:r>
      <w:r w:rsidR="009D291F" w:rsidRPr="00B1350E">
        <w:rPr>
          <w:rFonts w:ascii="Arial" w:hAnsi="Arial" w:cs="Arial"/>
          <w:sz w:val="24"/>
          <w:szCs w:val="24"/>
        </w:rPr>
        <w:t xml:space="preserve">.  </w:t>
      </w:r>
      <w:r w:rsidR="00C87909" w:rsidRPr="00B1350E">
        <w:rPr>
          <w:rFonts w:ascii="Arial" w:hAnsi="Arial" w:cs="Arial"/>
          <w:sz w:val="24"/>
          <w:szCs w:val="24"/>
        </w:rPr>
        <w:t xml:space="preserve">In beginning a new </w:t>
      </w:r>
      <w:r w:rsidR="000C0D88">
        <w:rPr>
          <w:rFonts w:ascii="Arial" w:hAnsi="Arial" w:cs="Arial"/>
          <w:sz w:val="24"/>
          <w:szCs w:val="24"/>
        </w:rPr>
        <w:t>OBE</w:t>
      </w:r>
      <w:r w:rsidR="00613CE2">
        <w:rPr>
          <w:rFonts w:ascii="Arial" w:hAnsi="Arial" w:cs="Arial"/>
          <w:sz w:val="24"/>
          <w:szCs w:val="24"/>
        </w:rPr>
        <w:t xml:space="preserve"> approach </w:t>
      </w:r>
      <w:r w:rsidR="00C87909" w:rsidRPr="00B1350E">
        <w:rPr>
          <w:rFonts w:ascii="Arial" w:hAnsi="Arial" w:cs="Arial"/>
          <w:sz w:val="24"/>
          <w:szCs w:val="24"/>
        </w:rPr>
        <w:t>that differed from logic models</w:t>
      </w:r>
      <w:r w:rsidR="00613CE2">
        <w:rPr>
          <w:rFonts w:ascii="Arial" w:hAnsi="Arial" w:cs="Arial"/>
          <w:sz w:val="24"/>
          <w:szCs w:val="24"/>
        </w:rPr>
        <w:t xml:space="preserve">, </w:t>
      </w:r>
      <w:r w:rsidR="0097358E">
        <w:rPr>
          <w:rFonts w:ascii="Arial" w:hAnsi="Arial" w:cs="Arial"/>
          <w:sz w:val="24"/>
          <w:szCs w:val="24"/>
        </w:rPr>
        <w:t>the t</w:t>
      </w:r>
      <w:r w:rsidR="00613CE2" w:rsidRPr="00B1350E">
        <w:rPr>
          <w:rFonts w:ascii="Arial" w:hAnsi="Arial" w:cs="Arial"/>
          <w:sz w:val="24"/>
          <w:szCs w:val="24"/>
        </w:rPr>
        <w:t>eams engaged in “backwards logic mapping</w:t>
      </w:r>
      <w:r w:rsidR="00613CE2">
        <w:rPr>
          <w:rFonts w:ascii="Arial" w:hAnsi="Arial" w:cs="Arial"/>
          <w:sz w:val="24"/>
          <w:szCs w:val="24"/>
        </w:rPr>
        <w:t>.</w:t>
      </w:r>
      <w:r w:rsidR="00613CE2" w:rsidRPr="00B1350E">
        <w:rPr>
          <w:rFonts w:ascii="Arial" w:hAnsi="Arial" w:cs="Arial"/>
          <w:sz w:val="24"/>
          <w:szCs w:val="24"/>
        </w:rPr>
        <w:t>”</w:t>
      </w:r>
      <w:r w:rsidR="00613CE2">
        <w:rPr>
          <w:rFonts w:ascii="Arial" w:hAnsi="Arial" w:cs="Arial"/>
          <w:sz w:val="24"/>
          <w:szCs w:val="24"/>
        </w:rPr>
        <w:t xml:space="preserve"> </w:t>
      </w:r>
      <w:r w:rsidRPr="00B1350E">
        <w:rPr>
          <w:rFonts w:ascii="Arial" w:hAnsi="Arial" w:cs="Arial"/>
          <w:sz w:val="24"/>
          <w:szCs w:val="24"/>
        </w:rPr>
        <w:t xml:space="preserve"> </w:t>
      </w:r>
      <w:r w:rsidR="00613CE2">
        <w:rPr>
          <w:rFonts w:ascii="Arial" w:hAnsi="Arial" w:cs="Arial"/>
          <w:sz w:val="24"/>
          <w:szCs w:val="24"/>
        </w:rPr>
        <w:t xml:space="preserve">Teams were assigned one or two </w:t>
      </w:r>
      <w:r w:rsidR="0097358E">
        <w:rPr>
          <w:rFonts w:ascii="Arial" w:hAnsi="Arial" w:cs="Arial"/>
          <w:sz w:val="24"/>
          <w:szCs w:val="24"/>
        </w:rPr>
        <w:t>of</w:t>
      </w:r>
      <w:r w:rsidR="00613CE2">
        <w:rPr>
          <w:rFonts w:ascii="Arial" w:hAnsi="Arial" w:cs="Arial"/>
          <w:sz w:val="24"/>
          <w:szCs w:val="24"/>
        </w:rPr>
        <w:t xml:space="preserve"> the federally authorized priorities for review and identification of </w:t>
      </w:r>
      <w:r w:rsidR="007E3824" w:rsidRPr="00B1350E">
        <w:rPr>
          <w:rFonts w:ascii="Arial" w:hAnsi="Arial" w:cs="Arial"/>
          <w:sz w:val="24"/>
          <w:szCs w:val="24"/>
        </w:rPr>
        <w:t>key objectives</w:t>
      </w:r>
      <w:r w:rsidR="007D50C7" w:rsidRPr="00B1350E">
        <w:rPr>
          <w:rFonts w:ascii="Arial" w:hAnsi="Arial" w:cs="Arial"/>
          <w:sz w:val="24"/>
          <w:szCs w:val="24"/>
        </w:rPr>
        <w:t>.  P</w:t>
      </w:r>
      <w:r w:rsidRPr="00B1350E">
        <w:rPr>
          <w:rFonts w:ascii="Arial" w:hAnsi="Arial" w:cs="Arial"/>
          <w:sz w:val="24"/>
          <w:szCs w:val="24"/>
        </w:rPr>
        <w:t>articipants</w:t>
      </w:r>
      <w:r w:rsidR="007D50C7" w:rsidRPr="00B1350E">
        <w:rPr>
          <w:rFonts w:ascii="Arial" w:hAnsi="Arial" w:cs="Arial"/>
          <w:sz w:val="24"/>
          <w:szCs w:val="24"/>
        </w:rPr>
        <w:t xml:space="preserve"> next</w:t>
      </w:r>
      <w:r w:rsidRPr="00B1350E">
        <w:rPr>
          <w:rFonts w:ascii="Arial" w:hAnsi="Arial" w:cs="Arial"/>
          <w:sz w:val="24"/>
          <w:szCs w:val="24"/>
        </w:rPr>
        <w:t xml:space="preserve"> </w:t>
      </w:r>
      <w:r w:rsidR="007D50C7" w:rsidRPr="00B1350E">
        <w:rPr>
          <w:rFonts w:ascii="Arial" w:hAnsi="Arial" w:cs="Arial"/>
          <w:sz w:val="24"/>
          <w:szCs w:val="24"/>
        </w:rPr>
        <w:t xml:space="preserve">articulated </w:t>
      </w:r>
      <w:r w:rsidRPr="00B1350E">
        <w:rPr>
          <w:rFonts w:ascii="Arial" w:hAnsi="Arial" w:cs="Arial"/>
          <w:sz w:val="24"/>
          <w:szCs w:val="24"/>
        </w:rPr>
        <w:t xml:space="preserve">and ranked the most important </w:t>
      </w:r>
      <w:r w:rsidR="0097358E">
        <w:rPr>
          <w:rFonts w:ascii="Arial" w:hAnsi="Arial" w:cs="Arial"/>
          <w:sz w:val="24"/>
          <w:szCs w:val="24"/>
        </w:rPr>
        <w:t xml:space="preserve">external opportunities outside of the program </w:t>
      </w:r>
      <w:r w:rsidR="007D50C7" w:rsidRPr="00B1350E">
        <w:rPr>
          <w:rFonts w:ascii="Arial" w:hAnsi="Arial" w:cs="Arial"/>
          <w:sz w:val="24"/>
          <w:szCs w:val="24"/>
        </w:rPr>
        <w:lastRenderedPageBreak/>
        <w:t xml:space="preserve">related to </w:t>
      </w:r>
      <w:r w:rsidR="00FD12F9" w:rsidRPr="00B1350E">
        <w:rPr>
          <w:rFonts w:ascii="Arial" w:hAnsi="Arial" w:cs="Arial"/>
          <w:sz w:val="24"/>
          <w:szCs w:val="24"/>
        </w:rPr>
        <w:t>the</w:t>
      </w:r>
      <w:r w:rsidR="007D50C7" w:rsidRPr="00B1350E">
        <w:rPr>
          <w:rFonts w:ascii="Arial" w:hAnsi="Arial" w:cs="Arial"/>
          <w:sz w:val="24"/>
          <w:szCs w:val="24"/>
        </w:rPr>
        <w:t>se</w:t>
      </w:r>
      <w:r w:rsidR="00FD12F9" w:rsidRPr="00B1350E">
        <w:rPr>
          <w:rFonts w:ascii="Arial" w:hAnsi="Arial" w:cs="Arial"/>
          <w:sz w:val="24"/>
          <w:szCs w:val="24"/>
        </w:rPr>
        <w:t xml:space="preserve"> objectives.  The</w:t>
      </w:r>
      <w:r w:rsidR="00567DF8" w:rsidRPr="00B1350E">
        <w:rPr>
          <w:rFonts w:ascii="Arial" w:hAnsi="Arial" w:cs="Arial"/>
          <w:sz w:val="24"/>
          <w:szCs w:val="24"/>
        </w:rPr>
        <w:t xml:space="preserve"> </w:t>
      </w:r>
      <w:r w:rsidR="00613CE2">
        <w:rPr>
          <w:rFonts w:ascii="Arial" w:hAnsi="Arial" w:cs="Arial"/>
          <w:sz w:val="24"/>
          <w:szCs w:val="24"/>
        </w:rPr>
        <w:t xml:space="preserve">opportunities </w:t>
      </w:r>
      <w:r w:rsidR="00567DF8" w:rsidRPr="00B1350E">
        <w:rPr>
          <w:rFonts w:ascii="Arial" w:hAnsi="Arial" w:cs="Arial"/>
          <w:sz w:val="24"/>
          <w:szCs w:val="24"/>
        </w:rPr>
        <w:t>were vetted using</w:t>
      </w:r>
      <w:r w:rsidR="00FD12F9" w:rsidRPr="00B1350E">
        <w:rPr>
          <w:rFonts w:ascii="Arial" w:hAnsi="Arial" w:cs="Arial"/>
          <w:sz w:val="24"/>
          <w:szCs w:val="24"/>
        </w:rPr>
        <w:t xml:space="preserve"> a </w:t>
      </w:r>
      <w:r w:rsidR="00567DF8" w:rsidRPr="00B1350E">
        <w:rPr>
          <w:rFonts w:ascii="Arial" w:hAnsi="Arial" w:cs="Arial"/>
          <w:sz w:val="24"/>
          <w:szCs w:val="24"/>
        </w:rPr>
        <w:t>taxonomy</w:t>
      </w:r>
      <w:r w:rsidR="00FD12F9" w:rsidRPr="00B1350E">
        <w:rPr>
          <w:rFonts w:ascii="Arial" w:hAnsi="Arial" w:cs="Arial"/>
          <w:sz w:val="24"/>
          <w:szCs w:val="24"/>
        </w:rPr>
        <w:t xml:space="preserve"> that consider</w:t>
      </w:r>
      <w:r w:rsidR="00567DF8" w:rsidRPr="00B1350E">
        <w:rPr>
          <w:rFonts w:ascii="Arial" w:hAnsi="Arial" w:cs="Arial"/>
          <w:sz w:val="24"/>
          <w:szCs w:val="24"/>
        </w:rPr>
        <w:t>ed</w:t>
      </w:r>
      <w:r w:rsidR="00FD12F9" w:rsidRPr="00B1350E">
        <w:rPr>
          <w:rFonts w:ascii="Arial" w:hAnsi="Arial" w:cs="Arial"/>
          <w:sz w:val="24"/>
          <w:szCs w:val="24"/>
        </w:rPr>
        <w:t xml:space="preserve"> political, economic, sociocultural</w:t>
      </w:r>
      <w:r w:rsidR="00613CE2">
        <w:rPr>
          <w:rFonts w:ascii="Arial" w:hAnsi="Arial" w:cs="Arial"/>
          <w:sz w:val="24"/>
          <w:szCs w:val="24"/>
        </w:rPr>
        <w:t>,</w:t>
      </w:r>
      <w:r w:rsidR="00FD12F9" w:rsidRPr="00B1350E">
        <w:rPr>
          <w:rFonts w:ascii="Arial" w:hAnsi="Arial" w:cs="Arial"/>
          <w:sz w:val="24"/>
          <w:szCs w:val="24"/>
        </w:rPr>
        <w:t xml:space="preserve"> and technological influences</w:t>
      </w:r>
      <w:r w:rsidR="00A15CD9" w:rsidRPr="00B1350E">
        <w:rPr>
          <w:rFonts w:ascii="Arial" w:hAnsi="Arial" w:cs="Arial"/>
          <w:sz w:val="24"/>
          <w:szCs w:val="24"/>
        </w:rPr>
        <w:t xml:space="preserve"> as distinct areas of </w:t>
      </w:r>
      <w:r w:rsidR="00AD69F4">
        <w:rPr>
          <w:rFonts w:ascii="Arial" w:hAnsi="Arial" w:cs="Arial"/>
          <w:sz w:val="24"/>
          <w:szCs w:val="24"/>
        </w:rPr>
        <w:t xml:space="preserve">external </w:t>
      </w:r>
      <w:r w:rsidR="00A15CD9" w:rsidRPr="00B1350E">
        <w:rPr>
          <w:rFonts w:ascii="Arial" w:hAnsi="Arial" w:cs="Arial"/>
          <w:sz w:val="24"/>
          <w:szCs w:val="24"/>
        </w:rPr>
        <w:t xml:space="preserve">influence </w:t>
      </w:r>
      <w:r w:rsidR="00AD69F4">
        <w:rPr>
          <w:rFonts w:ascii="Arial" w:hAnsi="Arial" w:cs="Arial"/>
          <w:sz w:val="24"/>
          <w:szCs w:val="24"/>
        </w:rPr>
        <w:t xml:space="preserve">on the program </w:t>
      </w:r>
      <w:r w:rsidR="000902BC" w:rsidRPr="00B1350E">
        <w:rPr>
          <w:rFonts w:ascii="Arial" w:hAnsi="Arial" w:cs="Arial"/>
          <w:sz w:val="24"/>
          <w:szCs w:val="24"/>
        </w:rPr>
        <w:t>(See Bryson, 200</w:t>
      </w:r>
      <w:r w:rsidR="000F4E2F" w:rsidRPr="00B1350E">
        <w:rPr>
          <w:rFonts w:ascii="Arial" w:hAnsi="Arial" w:cs="Arial"/>
          <w:sz w:val="24"/>
          <w:szCs w:val="24"/>
        </w:rPr>
        <w:t>4</w:t>
      </w:r>
      <w:r w:rsidR="000902BC" w:rsidRPr="00B1350E">
        <w:rPr>
          <w:rFonts w:ascii="Arial" w:hAnsi="Arial" w:cs="Arial"/>
          <w:sz w:val="24"/>
          <w:szCs w:val="24"/>
        </w:rPr>
        <w:t xml:space="preserve">, for </w:t>
      </w:r>
      <w:r w:rsidR="009D291F" w:rsidRPr="00B1350E">
        <w:rPr>
          <w:rFonts w:ascii="Arial" w:hAnsi="Arial" w:cs="Arial"/>
          <w:sz w:val="24"/>
          <w:szCs w:val="24"/>
        </w:rPr>
        <w:t>details</w:t>
      </w:r>
      <w:r w:rsidR="000902BC" w:rsidRPr="00B1350E">
        <w:rPr>
          <w:rFonts w:ascii="Arial" w:hAnsi="Arial" w:cs="Arial"/>
          <w:sz w:val="24"/>
          <w:szCs w:val="24"/>
        </w:rPr>
        <w:t xml:space="preserve"> </w:t>
      </w:r>
      <w:r w:rsidR="007D50C7" w:rsidRPr="00B1350E">
        <w:rPr>
          <w:rFonts w:ascii="Arial" w:hAnsi="Arial" w:cs="Arial"/>
          <w:sz w:val="24"/>
          <w:szCs w:val="24"/>
        </w:rPr>
        <w:t xml:space="preserve">of </w:t>
      </w:r>
      <w:r w:rsidR="000902BC" w:rsidRPr="00B1350E">
        <w:rPr>
          <w:rFonts w:ascii="Arial" w:hAnsi="Arial" w:cs="Arial"/>
          <w:sz w:val="24"/>
          <w:szCs w:val="24"/>
        </w:rPr>
        <w:t>the PEST taxonomy)</w:t>
      </w:r>
      <w:r w:rsidR="00FD12F9" w:rsidRPr="00B1350E">
        <w:rPr>
          <w:rFonts w:ascii="Arial" w:hAnsi="Arial" w:cs="Arial"/>
          <w:sz w:val="24"/>
          <w:szCs w:val="24"/>
        </w:rPr>
        <w:t xml:space="preserve">.  </w:t>
      </w:r>
      <w:r w:rsidR="007D50C7" w:rsidRPr="00B1350E">
        <w:rPr>
          <w:rFonts w:ascii="Arial" w:hAnsi="Arial" w:cs="Arial"/>
          <w:sz w:val="24"/>
          <w:szCs w:val="24"/>
        </w:rPr>
        <w:t>In a subsequent activity</w:t>
      </w:r>
      <w:r w:rsidR="00650BE8" w:rsidRPr="00B1350E">
        <w:rPr>
          <w:rFonts w:ascii="Arial" w:hAnsi="Arial" w:cs="Arial"/>
          <w:sz w:val="24"/>
          <w:szCs w:val="24"/>
        </w:rPr>
        <w:t>,</w:t>
      </w:r>
      <w:r w:rsidR="007D50C7" w:rsidRPr="00B1350E">
        <w:rPr>
          <w:rFonts w:ascii="Arial" w:hAnsi="Arial" w:cs="Arial"/>
          <w:sz w:val="24"/>
          <w:szCs w:val="24"/>
        </w:rPr>
        <w:t xml:space="preserve"> participants repeated the process for </w:t>
      </w:r>
      <w:r w:rsidR="0097358E">
        <w:rPr>
          <w:rFonts w:ascii="Arial" w:hAnsi="Arial" w:cs="Arial"/>
          <w:sz w:val="24"/>
          <w:szCs w:val="24"/>
        </w:rPr>
        <w:t xml:space="preserve">external programmatic </w:t>
      </w:r>
      <w:r w:rsidR="007D50C7" w:rsidRPr="00B1350E">
        <w:rPr>
          <w:rFonts w:ascii="Arial" w:hAnsi="Arial" w:cs="Arial"/>
          <w:sz w:val="24"/>
          <w:szCs w:val="24"/>
        </w:rPr>
        <w:t xml:space="preserve">barriers. </w:t>
      </w:r>
      <w:r w:rsidR="00FD12F9" w:rsidRPr="00B1350E">
        <w:rPr>
          <w:rFonts w:ascii="Arial" w:hAnsi="Arial" w:cs="Arial"/>
          <w:sz w:val="24"/>
          <w:szCs w:val="24"/>
        </w:rPr>
        <w:t xml:space="preserve"> Finally, </w:t>
      </w:r>
      <w:r w:rsidR="000902BC" w:rsidRPr="00B1350E">
        <w:rPr>
          <w:rFonts w:ascii="Arial" w:hAnsi="Arial" w:cs="Arial"/>
          <w:sz w:val="24"/>
          <w:szCs w:val="24"/>
        </w:rPr>
        <w:t>participants</w:t>
      </w:r>
      <w:r w:rsidR="00FD12F9" w:rsidRPr="00B1350E">
        <w:rPr>
          <w:rFonts w:ascii="Arial" w:hAnsi="Arial" w:cs="Arial"/>
          <w:sz w:val="24"/>
          <w:szCs w:val="24"/>
        </w:rPr>
        <w:t xml:space="preserve"> </w:t>
      </w:r>
      <w:r w:rsidR="00567DF8" w:rsidRPr="00B1350E">
        <w:rPr>
          <w:rFonts w:ascii="Arial" w:hAnsi="Arial" w:cs="Arial"/>
          <w:sz w:val="24"/>
          <w:szCs w:val="24"/>
        </w:rPr>
        <w:t>began</w:t>
      </w:r>
      <w:r w:rsidR="00FD12F9" w:rsidRPr="00B1350E">
        <w:rPr>
          <w:rFonts w:ascii="Arial" w:hAnsi="Arial" w:cs="Arial"/>
          <w:sz w:val="24"/>
          <w:szCs w:val="24"/>
        </w:rPr>
        <w:t xml:space="preserve"> </w:t>
      </w:r>
      <w:r w:rsidR="007D50C7" w:rsidRPr="00B1350E">
        <w:rPr>
          <w:rFonts w:ascii="Arial" w:hAnsi="Arial" w:cs="Arial"/>
          <w:sz w:val="24"/>
          <w:szCs w:val="24"/>
        </w:rPr>
        <w:t xml:space="preserve">to </w:t>
      </w:r>
      <w:r w:rsidR="00FD12F9" w:rsidRPr="00B1350E">
        <w:rPr>
          <w:rFonts w:ascii="Arial" w:hAnsi="Arial" w:cs="Arial"/>
          <w:sz w:val="24"/>
          <w:szCs w:val="24"/>
        </w:rPr>
        <w:t xml:space="preserve">list </w:t>
      </w:r>
      <w:r w:rsidR="00567DF8" w:rsidRPr="00B1350E">
        <w:rPr>
          <w:rFonts w:ascii="Arial" w:hAnsi="Arial" w:cs="Arial"/>
          <w:sz w:val="24"/>
          <w:szCs w:val="24"/>
        </w:rPr>
        <w:t xml:space="preserve">and </w:t>
      </w:r>
      <w:r w:rsidR="007D50C7" w:rsidRPr="00B1350E">
        <w:rPr>
          <w:rFonts w:ascii="Arial" w:hAnsi="Arial" w:cs="Arial"/>
          <w:sz w:val="24"/>
          <w:szCs w:val="24"/>
        </w:rPr>
        <w:t xml:space="preserve">prioritize </w:t>
      </w:r>
      <w:r w:rsidR="00FD12F9" w:rsidRPr="00B1350E">
        <w:rPr>
          <w:rFonts w:ascii="Arial" w:hAnsi="Arial" w:cs="Arial"/>
          <w:sz w:val="24"/>
          <w:szCs w:val="24"/>
        </w:rPr>
        <w:t xml:space="preserve">strategies </w:t>
      </w:r>
      <w:r w:rsidR="007D50C7" w:rsidRPr="00B1350E">
        <w:rPr>
          <w:rFonts w:ascii="Arial" w:hAnsi="Arial" w:cs="Arial"/>
          <w:sz w:val="24"/>
          <w:szCs w:val="24"/>
        </w:rPr>
        <w:t xml:space="preserve">to </w:t>
      </w:r>
      <w:r w:rsidR="00FD12F9" w:rsidRPr="00B1350E">
        <w:rPr>
          <w:rFonts w:ascii="Arial" w:hAnsi="Arial" w:cs="Arial"/>
          <w:sz w:val="24"/>
          <w:szCs w:val="24"/>
        </w:rPr>
        <w:t xml:space="preserve">address the opportunities </w:t>
      </w:r>
      <w:r w:rsidR="000902BC" w:rsidRPr="00B1350E">
        <w:rPr>
          <w:rFonts w:ascii="Arial" w:hAnsi="Arial" w:cs="Arial"/>
          <w:sz w:val="24"/>
          <w:szCs w:val="24"/>
        </w:rPr>
        <w:t>and</w:t>
      </w:r>
      <w:r w:rsidR="00FD12F9" w:rsidRPr="00B1350E">
        <w:rPr>
          <w:rFonts w:ascii="Arial" w:hAnsi="Arial" w:cs="Arial"/>
          <w:sz w:val="24"/>
          <w:szCs w:val="24"/>
        </w:rPr>
        <w:t xml:space="preserve"> barriers</w:t>
      </w:r>
      <w:r w:rsidR="007D50C7" w:rsidRPr="00B1350E">
        <w:rPr>
          <w:rFonts w:ascii="Arial" w:hAnsi="Arial" w:cs="Arial"/>
          <w:sz w:val="24"/>
          <w:szCs w:val="24"/>
        </w:rPr>
        <w:t xml:space="preserve"> they had </w:t>
      </w:r>
      <w:r w:rsidR="00613CE2">
        <w:rPr>
          <w:rFonts w:ascii="Arial" w:hAnsi="Arial" w:cs="Arial"/>
          <w:sz w:val="24"/>
          <w:szCs w:val="24"/>
        </w:rPr>
        <w:t xml:space="preserve">now </w:t>
      </w:r>
      <w:r w:rsidR="007D50C7" w:rsidRPr="00B1350E">
        <w:rPr>
          <w:rFonts w:ascii="Arial" w:hAnsi="Arial" w:cs="Arial"/>
          <w:sz w:val="24"/>
          <w:szCs w:val="24"/>
        </w:rPr>
        <w:t>identified and ranked</w:t>
      </w:r>
      <w:r w:rsidR="00FD12F9" w:rsidRPr="00B1350E">
        <w:rPr>
          <w:rFonts w:ascii="Arial" w:hAnsi="Arial" w:cs="Arial"/>
          <w:sz w:val="24"/>
          <w:szCs w:val="24"/>
        </w:rPr>
        <w:t xml:space="preserve">.  </w:t>
      </w:r>
    </w:p>
    <w:p w:rsidR="00650BE8" w:rsidRDefault="00FD12F9" w:rsidP="00650BE8">
      <w:pPr>
        <w:pStyle w:val="Body1"/>
        <w:spacing w:before="120" w:after="120" w:line="360" w:lineRule="auto"/>
        <w:rPr>
          <w:rFonts w:ascii="Arial" w:hAnsi="Arial" w:cs="Arial"/>
          <w:sz w:val="24"/>
          <w:szCs w:val="24"/>
        </w:rPr>
      </w:pPr>
      <w:r w:rsidRPr="00B1350E">
        <w:rPr>
          <w:rFonts w:ascii="Arial" w:hAnsi="Arial" w:cs="Arial"/>
          <w:sz w:val="24"/>
          <w:szCs w:val="24"/>
        </w:rPr>
        <w:t>By day</w:t>
      </w:r>
      <w:r w:rsidR="007D50C7" w:rsidRPr="00B1350E">
        <w:rPr>
          <w:rFonts w:ascii="Arial" w:hAnsi="Arial" w:cs="Arial"/>
          <w:sz w:val="24"/>
          <w:szCs w:val="24"/>
        </w:rPr>
        <w:t>’s</w:t>
      </w:r>
      <w:r w:rsidRPr="00B1350E">
        <w:rPr>
          <w:rFonts w:ascii="Arial" w:hAnsi="Arial" w:cs="Arial"/>
          <w:sz w:val="24"/>
          <w:szCs w:val="24"/>
        </w:rPr>
        <w:t xml:space="preserve"> end, the meeting rooms were filled with </w:t>
      </w:r>
      <w:r w:rsidR="000902BC" w:rsidRPr="00B1350E">
        <w:rPr>
          <w:rFonts w:ascii="Arial" w:hAnsi="Arial" w:cs="Arial"/>
          <w:sz w:val="24"/>
          <w:szCs w:val="24"/>
        </w:rPr>
        <w:t>flip-charts</w:t>
      </w:r>
      <w:r w:rsidRPr="00B1350E">
        <w:rPr>
          <w:rFonts w:ascii="Arial" w:hAnsi="Arial" w:cs="Arial"/>
          <w:sz w:val="24"/>
          <w:szCs w:val="24"/>
        </w:rPr>
        <w:t xml:space="preserve"> </w:t>
      </w:r>
      <w:r w:rsidR="000902BC" w:rsidRPr="00B1350E">
        <w:rPr>
          <w:rFonts w:ascii="Arial" w:hAnsi="Arial" w:cs="Arial"/>
          <w:sz w:val="24"/>
          <w:szCs w:val="24"/>
        </w:rPr>
        <w:t xml:space="preserve">sprinkled </w:t>
      </w:r>
      <w:r w:rsidRPr="00B1350E">
        <w:rPr>
          <w:rFonts w:ascii="Arial" w:hAnsi="Arial" w:cs="Arial"/>
          <w:sz w:val="24"/>
          <w:szCs w:val="24"/>
        </w:rPr>
        <w:t>with post-it notes and colored dots representing rankings of the opportunities</w:t>
      </w:r>
      <w:r w:rsidR="007D50C7" w:rsidRPr="00B1350E">
        <w:rPr>
          <w:rFonts w:ascii="Arial" w:hAnsi="Arial" w:cs="Arial"/>
          <w:sz w:val="24"/>
          <w:szCs w:val="24"/>
        </w:rPr>
        <w:t>, barriers,</w:t>
      </w:r>
      <w:r w:rsidRPr="00B1350E">
        <w:rPr>
          <w:rFonts w:ascii="Arial" w:hAnsi="Arial" w:cs="Arial"/>
          <w:sz w:val="24"/>
          <w:szCs w:val="24"/>
        </w:rPr>
        <w:t xml:space="preserve"> and strategies</w:t>
      </w:r>
      <w:r w:rsidR="00013A26" w:rsidRPr="00B1350E">
        <w:rPr>
          <w:rFonts w:ascii="Arial" w:hAnsi="Arial" w:cs="Arial"/>
          <w:sz w:val="24"/>
          <w:szCs w:val="24"/>
        </w:rPr>
        <w:t xml:space="preserve">.  </w:t>
      </w:r>
      <w:r w:rsidR="0043129C" w:rsidRPr="00B1350E">
        <w:rPr>
          <w:rFonts w:ascii="Arial" w:hAnsi="Arial" w:cs="Arial"/>
          <w:sz w:val="24"/>
          <w:szCs w:val="24"/>
        </w:rPr>
        <w:t>T</w:t>
      </w:r>
      <w:r w:rsidR="00650BE8" w:rsidRPr="00B1350E">
        <w:rPr>
          <w:rFonts w:ascii="Arial" w:hAnsi="Arial" w:cs="Arial"/>
          <w:sz w:val="24"/>
          <w:szCs w:val="24"/>
        </w:rPr>
        <w:t xml:space="preserve">he introduction of a single strategic planning tool, exercised in the same way across </w:t>
      </w:r>
      <w:r w:rsidR="003B6364" w:rsidRPr="00B1350E">
        <w:rPr>
          <w:rFonts w:ascii="Arial" w:hAnsi="Arial" w:cs="Arial"/>
          <w:sz w:val="24"/>
          <w:szCs w:val="24"/>
        </w:rPr>
        <w:t>all of the SLAA</w:t>
      </w:r>
      <w:r w:rsidR="00A15CD9" w:rsidRPr="00B1350E">
        <w:rPr>
          <w:rFonts w:ascii="Arial" w:hAnsi="Arial" w:cs="Arial"/>
          <w:sz w:val="24"/>
          <w:szCs w:val="24"/>
        </w:rPr>
        <w:t>/</w:t>
      </w:r>
      <w:r w:rsidR="003B6364" w:rsidRPr="00B1350E">
        <w:rPr>
          <w:rFonts w:ascii="Arial" w:hAnsi="Arial" w:cs="Arial"/>
          <w:sz w:val="24"/>
          <w:szCs w:val="24"/>
        </w:rPr>
        <w:t>IMLS teams</w:t>
      </w:r>
      <w:r w:rsidR="00874A28" w:rsidRPr="00B1350E">
        <w:rPr>
          <w:rFonts w:ascii="Arial" w:hAnsi="Arial" w:cs="Arial"/>
          <w:sz w:val="24"/>
          <w:szCs w:val="24"/>
        </w:rPr>
        <w:t>,</w:t>
      </w:r>
      <w:r w:rsidR="003B6364" w:rsidRPr="00B1350E">
        <w:rPr>
          <w:rFonts w:ascii="Arial" w:hAnsi="Arial" w:cs="Arial"/>
          <w:sz w:val="24"/>
          <w:szCs w:val="24"/>
        </w:rPr>
        <w:t xml:space="preserve"> </w:t>
      </w:r>
      <w:r w:rsidR="00650BE8" w:rsidRPr="00B1350E">
        <w:rPr>
          <w:rFonts w:ascii="Arial" w:hAnsi="Arial" w:cs="Arial"/>
          <w:sz w:val="24"/>
          <w:szCs w:val="24"/>
        </w:rPr>
        <w:t xml:space="preserve">moved participant preoccupation away from </w:t>
      </w:r>
      <w:r w:rsidR="0043129C" w:rsidRPr="00B1350E">
        <w:rPr>
          <w:rFonts w:ascii="Arial" w:hAnsi="Arial" w:cs="Arial"/>
          <w:sz w:val="24"/>
          <w:szCs w:val="24"/>
        </w:rPr>
        <w:t xml:space="preserve">sensitive </w:t>
      </w:r>
      <w:r w:rsidR="00650BE8" w:rsidRPr="00B1350E">
        <w:rPr>
          <w:rFonts w:ascii="Arial" w:hAnsi="Arial" w:cs="Arial"/>
          <w:sz w:val="24"/>
          <w:szCs w:val="24"/>
        </w:rPr>
        <w:t xml:space="preserve">issues associated with </w:t>
      </w:r>
      <w:r w:rsidR="003B6364" w:rsidRPr="00B1350E">
        <w:rPr>
          <w:rFonts w:ascii="Arial" w:hAnsi="Arial" w:cs="Arial"/>
          <w:sz w:val="24"/>
          <w:szCs w:val="24"/>
        </w:rPr>
        <w:t>state</w:t>
      </w:r>
      <w:r w:rsidR="00650BE8" w:rsidRPr="00B1350E">
        <w:rPr>
          <w:rFonts w:ascii="Arial" w:hAnsi="Arial" w:cs="Arial"/>
          <w:sz w:val="24"/>
          <w:szCs w:val="24"/>
        </w:rPr>
        <w:t xml:space="preserve"> autonomy and </w:t>
      </w:r>
      <w:r w:rsidR="0043129C" w:rsidRPr="00B1350E">
        <w:rPr>
          <w:rFonts w:ascii="Arial" w:hAnsi="Arial" w:cs="Arial"/>
          <w:sz w:val="24"/>
          <w:szCs w:val="24"/>
        </w:rPr>
        <w:t xml:space="preserve">changes in </w:t>
      </w:r>
      <w:r w:rsidR="0097358E">
        <w:rPr>
          <w:rFonts w:ascii="Arial" w:hAnsi="Arial" w:cs="Arial"/>
          <w:sz w:val="24"/>
          <w:szCs w:val="24"/>
        </w:rPr>
        <w:t xml:space="preserve">performance </w:t>
      </w:r>
      <w:r w:rsidR="00650BE8" w:rsidRPr="00B1350E">
        <w:rPr>
          <w:rFonts w:ascii="Arial" w:hAnsi="Arial" w:cs="Arial"/>
          <w:sz w:val="24"/>
          <w:szCs w:val="24"/>
        </w:rPr>
        <w:t xml:space="preserve">measurement </w:t>
      </w:r>
      <w:r w:rsidR="00AD69F4">
        <w:rPr>
          <w:rFonts w:ascii="Arial" w:hAnsi="Arial" w:cs="Arial"/>
          <w:sz w:val="24"/>
          <w:szCs w:val="24"/>
        </w:rPr>
        <w:t xml:space="preserve">and </w:t>
      </w:r>
      <w:r w:rsidR="00650BE8" w:rsidRPr="00B1350E">
        <w:rPr>
          <w:rFonts w:ascii="Arial" w:hAnsi="Arial" w:cs="Arial"/>
          <w:sz w:val="24"/>
          <w:szCs w:val="24"/>
        </w:rPr>
        <w:t xml:space="preserve">towards discussion </w:t>
      </w:r>
      <w:r w:rsidR="00613CE2">
        <w:rPr>
          <w:rFonts w:ascii="Arial" w:hAnsi="Arial" w:cs="Arial"/>
          <w:sz w:val="24"/>
          <w:szCs w:val="24"/>
        </w:rPr>
        <w:t>of</w:t>
      </w:r>
      <w:r w:rsidR="00650BE8" w:rsidRPr="00B1350E">
        <w:rPr>
          <w:rFonts w:ascii="Arial" w:hAnsi="Arial" w:cs="Arial"/>
          <w:sz w:val="24"/>
          <w:szCs w:val="24"/>
        </w:rPr>
        <w:t xml:space="preserve"> what the </w:t>
      </w:r>
      <w:r w:rsidR="003B6364" w:rsidRPr="00B1350E">
        <w:rPr>
          <w:rFonts w:ascii="Arial" w:hAnsi="Arial" w:cs="Arial"/>
          <w:sz w:val="24"/>
          <w:szCs w:val="24"/>
        </w:rPr>
        <w:t xml:space="preserve">Grants to States </w:t>
      </w:r>
      <w:r w:rsidR="00613CE2">
        <w:rPr>
          <w:rFonts w:ascii="Arial" w:hAnsi="Arial" w:cs="Arial"/>
          <w:sz w:val="24"/>
          <w:szCs w:val="24"/>
        </w:rPr>
        <w:t>p</w:t>
      </w:r>
      <w:r w:rsidR="00650BE8" w:rsidRPr="00B1350E">
        <w:rPr>
          <w:rFonts w:ascii="Arial" w:hAnsi="Arial" w:cs="Arial"/>
          <w:sz w:val="24"/>
          <w:szCs w:val="24"/>
        </w:rPr>
        <w:t xml:space="preserve">rogram </w:t>
      </w:r>
      <w:r w:rsidR="00A15CD9" w:rsidRPr="00B1350E">
        <w:rPr>
          <w:rFonts w:ascii="Arial" w:hAnsi="Arial" w:cs="Arial"/>
          <w:sz w:val="24"/>
          <w:szCs w:val="24"/>
        </w:rPr>
        <w:t xml:space="preserve">intended </w:t>
      </w:r>
      <w:r w:rsidR="00650BE8" w:rsidRPr="00B1350E">
        <w:rPr>
          <w:rFonts w:ascii="Arial" w:hAnsi="Arial" w:cs="Arial"/>
          <w:sz w:val="24"/>
          <w:szCs w:val="24"/>
        </w:rPr>
        <w:t>to achieve</w:t>
      </w:r>
      <w:r w:rsidR="003B6364" w:rsidRPr="00B1350E">
        <w:rPr>
          <w:rFonts w:ascii="Arial" w:hAnsi="Arial" w:cs="Arial"/>
          <w:sz w:val="24"/>
          <w:szCs w:val="24"/>
        </w:rPr>
        <w:t xml:space="preserve"> as a whole</w:t>
      </w:r>
      <w:r w:rsidR="00650BE8" w:rsidRPr="00B1350E">
        <w:rPr>
          <w:rFonts w:ascii="Arial" w:hAnsi="Arial" w:cs="Arial"/>
          <w:sz w:val="24"/>
          <w:szCs w:val="24"/>
        </w:rPr>
        <w:t xml:space="preserve">. It also helped build trust and common ground on the importance of </w:t>
      </w:r>
      <w:r w:rsidR="00D13225" w:rsidRPr="00B1350E">
        <w:rPr>
          <w:rFonts w:ascii="Arial" w:hAnsi="Arial" w:cs="Arial"/>
          <w:sz w:val="24"/>
          <w:szCs w:val="24"/>
        </w:rPr>
        <w:t xml:space="preserve">moving forward </w:t>
      </w:r>
      <w:r w:rsidR="00613CE2">
        <w:rPr>
          <w:rFonts w:ascii="Arial" w:hAnsi="Arial" w:cs="Arial"/>
          <w:sz w:val="24"/>
          <w:szCs w:val="24"/>
        </w:rPr>
        <w:t>to</w:t>
      </w:r>
      <w:r w:rsidR="00D13225" w:rsidRPr="00B1350E">
        <w:rPr>
          <w:rFonts w:ascii="Arial" w:hAnsi="Arial" w:cs="Arial"/>
          <w:sz w:val="24"/>
          <w:szCs w:val="24"/>
        </w:rPr>
        <w:t xml:space="preserve"> </w:t>
      </w:r>
      <w:r w:rsidR="00650BE8" w:rsidRPr="00B1350E">
        <w:rPr>
          <w:rFonts w:ascii="Arial" w:hAnsi="Arial" w:cs="Arial"/>
          <w:sz w:val="24"/>
          <w:szCs w:val="24"/>
        </w:rPr>
        <w:t xml:space="preserve">develop a new </w:t>
      </w:r>
      <w:r w:rsidR="006759E4" w:rsidRPr="00B1350E">
        <w:rPr>
          <w:rFonts w:ascii="Arial" w:hAnsi="Arial" w:cs="Arial"/>
          <w:sz w:val="24"/>
          <w:szCs w:val="24"/>
        </w:rPr>
        <w:t xml:space="preserve">evaluation </w:t>
      </w:r>
      <w:r w:rsidR="0097358E">
        <w:rPr>
          <w:rFonts w:ascii="Arial" w:hAnsi="Arial" w:cs="Arial"/>
          <w:sz w:val="24"/>
          <w:szCs w:val="24"/>
        </w:rPr>
        <w:t>approach</w:t>
      </w:r>
      <w:r w:rsidR="0043129C" w:rsidRPr="00B1350E">
        <w:rPr>
          <w:rFonts w:ascii="Arial" w:hAnsi="Arial" w:cs="Arial"/>
          <w:sz w:val="24"/>
          <w:szCs w:val="24"/>
        </w:rPr>
        <w:t>.</w:t>
      </w:r>
    </w:p>
    <w:p w:rsidR="00567DF8" w:rsidRPr="00613CE2" w:rsidRDefault="00613CE2" w:rsidP="008D59F8">
      <w:pPr>
        <w:pStyle w:val="Body1"/>
        <w:spacing w:before="120" w:after="120" w:line="360" w:lineRule="auto"/>
        <w:rPr>
          <w:rFonts w:ascii="Arial" w:hAnsi="Arial" w:cs="Arial"/>
          <w:b/>
          <w:sz w:val="24"/>
          <w:szCs w:val="24"/>
        </w:rPr>
      </w:pPr>
      <w:r w:rsidRPr="00613CE2">
        <w:rPr>
          <w:rFonts w:ascii="Arial" w:hAnsi="Arial" w:cs="Arial"/>
          <w:b/>
          <w:sz w:val="24"/>
          <w:szCs w:val="24"/>
        </w:rPr>
        <w:t xml:space="preserve">Continued </w:t>
      </w:r>
      <w:r w:rsidR="00567DF8" w:rsidRPr="00613CE2">
        <w:rPr>
          <w:rFonts w:ascii="Arial" w:hAnsi="Arial" w:cs="Arial"/>
          <w:b/>
          <w:sz w:val="24"/>
          <w:szCs w:val="24"/>
        </w:rPr>
        <w:t xml:space="preserve">Backwards Logic Mapping </w:t>
      </w:r>
    </w:p>
    <w:p w:rsidR="0028277D" w:rsidRPr="00B1350E" w:rsidRDefault="0097358E" w:rsidP="008D59F8">
      <w:pPr>
        <w:pStyle w:val="Body1"/>
        <w:spacing w:before="120" w:after="120" w:line="360" w:lineRule="auto"/>
        <w:rPr>
          <w:rFonts w:ascii="Arial" w:hAnsi="Arial" w:cs="Arial"/>
          <w:sz w:val="24"/>
          <w:szCs w:val="24"/>
        </w:rPr>
      </w:pPr>
      <w:r>
        <w:rPr>
          <w:rFonts w:ascii="Arial" w:hAnsi="Arial" w:cs="Arial"/>
          <w:sz w:val="24"/>
          <w:szCs w:val="24"/>
        </w:rPr>
        <w:t>C</w:t>
      </w:r>
      <w:r w:rsidR="003E52D5" w:rsidRPr="00B1350E">
        <w:rPr>
          <w:rFonts w:ascii="Arial" w:hAnsi="Arial" w:cs="Arial"/>
          <w:sz w:val="24"/>
          <w:szCs w:val="24"/>
        </w:rPr>
        <w:t>ommunication between IMLS and SLAA partners</w:t>
      </w:r>
      <w:r w:rsidR="00063B11" w:rsidRPr="00063B11">
        <w:rPr>
          <w:rFonts w:ascii="Arial" w:hAnsi="Arial" w:cs="Arial"/>
          <w:sz w:val="24"/>
          <w:szCs w:val="24"/>
        </w:rPr>
        <w:t xml:space="preserve"> </w:t>
      </w:r>
      <w:r w:rsidR="00063B11" w:rsidRPr="00B1350E">
        <w:rPr>
          <w:rFonts w:ascii="Arial" w:hAnsi="Arial" w:cs="Arial"/>
          <w:sz w:val="24"/>
          <w:szCs w:val="24"/>
        </w:rPr>
        <w:t>continued</w:t>
      </w:r>
      <w:r>
        <w:rPr>
          <w:rFonts w:ascii="Arial" w:hAnsi="Arial" w:cs="Arial"/>
          <w:sz w:val="24"/>
          <w:szCs w:val="24"/>
        </w:rPr>
        <w:t xml:space="preserve"> following the conference</w:t>
      </w:r>
      <w:r w:rsidR="003E52D5" w:rsidRPr="00B1350E">
        <w:rPr>
          <w:rFonts w:ascii="Arial" w:hAnsi="Arial" w:cs="Arial"/>
          <w:sz w:val="24"/>
          <w:szCs w:val="24"/>
        </w:rPr>
        <w:t xml:space="preserve">. </w:t>
      </w:r>
      <w:r w:rsidR="003E52D5" w:rsidRPr="00B1350E">
        <w:rPr>
          <w:rFonts w:ascii="Arial" w:hAnsi="Arial" w:cs="Arial"/>
          <w:i/>
          <w:sz w:val="24"/>
          <w:szCs w:val="24"/>
        </w:rPr>
        <w:t>Measuring Success</w:t>
      </w:r>
      <w:r w:rsidR="003E52D5" w:rsidRPr="00B1350E">
        <w:rPr>
          <w:rFonts w:ascii="Arial" w:hAnsi="Arial" w:cs="Arial"/>
          <w:sz w:val="24"/>
          <w:szCs w:val="24"/>
        </w:rPr>
        <w:t xml:space="preserve"> </w:t>
      </w:r>
      <w:r w:rsidR="00A15CD9" w:rsidRPr="00B1350E">
        <w:rPr>
          <w:rFonts w:ascii="Arial" w:hAnsi="Arial" w:cs="Arial"/>
          <w:sz w:val="24"/>
          <w:szCs w:val="24"/>
        </w:rPr>
        <w:t xml:space="preserve">“branding” </w:t>
      </w:r>
      <w:r w:rsidR="003E52D5" w:rsidRPr="00B1350E">
        <w:rPr>
          <w:rFonts w:ascii="Arial" w:hAnsi="Arial" w:cs="Arial"/>
          <w:sz w:val="24"/>
          <w:szCs w:val="24"/>
        </w:rPr>
        <w:t xml:space="preserve">occurred with the creation of a </w:t>
      </w:r>
      <w:r w:rsidR="00E76189" w:rsidRPr="00B1350E">
        <w:rPr>
          <w:rFonts w:ascii="Arial" w:hAnsi="Arial" w:cs="Arial"/>
          <w:sz w:val="24"/>
          <w:szCs w:val="24"/>
        </w:rPr>
        <w:t>Wiki</w:t>
      </w:r>
      <w:r w:rsidR="001A4AAF" w:rsidRPr="00B1350E">
        <w:rPr>
          <w:rFonts w:ascii="Arial" w:hAnsi="Arial" w:cs="Arial"/>
          <w:sz w:val="24"/>
          <w:szCs w:val="24"/>
        </w:rPr>
        <w:t xml:space="preserve">. </w:t>
      </w:r>
      <w:r w:rsidR="003E52D5" w:rsidRPr="00B1350E">
        <w:rPr>
          <w:rFonts w:ascii="Arial" w:hAnsi="Arial" w:cs="Arial"/>
          <w:sz w:val="24"/>
          <w:szCs w:val="24"/>
        </w:rPr>
        <w:t xml:space="preserve"> </w:t>
      </w:r>
      <w:r w:rsidR="000902BC" w:rsidRPr="00B1350E">
        <w:rPr>
          <w:rFonts w:ascii="Arial" w:hAnsi="Arial" w:cs="Arial"/>
          <w:sz w:val="24"/>
          <w:szCs w:val="24"/>
        </w:rPr>
        <w:t xml:space="preserve">By late spring, </w:t>
      </w:r>
      <w:r w:rsidR="0028277D" w:rsidRPr="00B1350E">
        <w:rPr>
          <w:rFonts w:ascii="Arial" w:hAnsi="Arial" w:cs="Arial"/>
          <w:sz w:val="24"/>
          <w:szCs w:val="24"/>
        </w:rPr>
        <w:t xml:space="preserve">SLAA participants </w:t>
      </w:r>
      <w:r w:rsidR="008E1796" w:rsidRPr="00B1350E">
        <w:rPr>
          <w:rFonts w:ascii="Arial" w:hAnsi="Arial" w:cs="Arial"/>
          <w:sz w:val="24"/>
          <w:szCs w:val="24"/>
        </w:rPr>
        <w:t xml:space="preserve">had </w:t>
      </w:r>
      <w:r w:rsidR="0028277D" w:rsidRPr="00B1350E">
        <w:rPr>
          <w:rFonts w:ascii="Arial" w:hAnsi="Arial" w:cs="Arial"/>
          <w:sz w:val="24"/>
          <w:szCs w:val="24"/>
        </w:rPr>
        <w:t>self-selected into six teams</w:t>
      </w:r>
      <w:r w:rsidR="008E1796" w:rsidRPr="00B1350E">
        <w:rPr>
          <w:rFonts w:ascii="Arial" w:hAnsi="Arial" w:cs="Arial"/>
          <w:sz w:val="24"/>
          <w:szCs w:val="24"/>
        </w:rPr>
        <w:t>,</w:t>
      </w:r>
      <w:r w:rsidR="0028277D" w:rsidRPr="00B1350E">
        <w:rPr>
          <w:rFonts w:ascii="Arial" w:hAnsi="Arial" w:cs="Arial"/>
          <w:sz w:val="24"/>
          <w:szCs w:val="24"/>
        </w:rPr>
        <w:t xml:space="preserve"> each </w:t>
      </w:r>
      <w:r w:rsidR="008E1796" w:rsidRPr="00B1350E">
        <w:rPr>
          <w:rFonts w:ascii="Arial" w:hAnsi="Arial" w:cs="Arial"/>
          <w:sz w:val="24"/>
          <w:szCs w:val="24"/>
        </w:rPr>
        <w:t xml:space="preserve">roughly </w:t>
      </w:r>
      <w:r w:rsidR="0028277D" w:rsidRPr="00B1350E">
        <w:rPr>
          <w:rFonts w:ascii="Arial" w:hAnsi="Arial" w:cs="Arial"/>
          <w:sz w:val="24"/>
          <w:szCs w:val="24"/>
        </w:rPr>
        <w:t>corresponding to a priority in the new federal legislation.</w:t>
      </w:r>
      <w:r w:rsidR="0028277D" w:rsidRPr="00B1350E">
        <w:rPr>
          <w:rStyle w:val="FootnoteReference"/>
          <w:rFonts w:ascii="Arial" w:hAnsi="Arial" w:cs="Arial"/>
          <w:sz w:val="24"/>
          <w:szCs w:val="24"/>
        </w:rPr>
        <w:footnoteReference w:id="6"/>
      </w:r>
      <w:r w:rsidR="0028277D" w:rsidRPr="00B1350E">
        <w:rPr>
          <w:rFonts w:ascii="Arial" w:hAnsi="Arial" w:cs="Arial"/>
          <w:sz w:val="24"/>
          <w:szCs w:val="24"/>
        </w:rPr>
        <w:t xml:space="preserve">    </w:t>
      </w:r>
    </w:p>
    <w:p w:rsidR="00696FB5" w:rsidRDefault="00F75E26" w:rsidP="008D59F8">
      <w:pPr>
        <w:pStyle w:val="Body1"/>
        <w:spacing w:before="120" w:after="120" w:line="360" w:lineRule="auto"/>
        <w:rPr>
          <w:rFonts w:ascii="Arial" w:hAnsi="Arial" w:cs="Arial"/>
          <w:sz w:val="24"/>
          <w:szCs w:val="24"/>
        </w:rPr>
      </w:pPr>
      <w:r w:rsidRPr="00B1350E">
        <w:rPr>
          <w:rFonts w:ascii="Arial" w:hAnsi="Arial" w:cs="Arial"/>
          <w:sz w:val="24"/>
          <w:szCs w:val="24"/>
        </w:rPr>
        <w:t>W</w:t>
      </w:r>
      <w:r w:rsidR="0028277D" w:rsidRPr="00B1350E">
        <w:rPr>
          <w:rFonts w:ascii="Arial" w:hAnsi="Arial" w:cs="Arial"/>
          <w:sz w:val="24"/>
          <w:szCs w:val="24"/>
        </w:rPr>
        <w:t>ebinars w</w:t>
      </w:r>
      <w:r w:rsidR="00567DF8" w:rsidRPr="00B1350E">
        <w:rPr>
          <w:rFonts w:ascii="Arial" w:hAnsi="Arial" w:cs="Arial"/>
          <w:sz w:val="24"/>
          <w:szCs w:val="24"/>
        </w:rPr>
        <w:t>ere</w:t>
      </w:r>
      <w:r w:rsidR="0028277D" w:rsidRPr="00B1350E">
        <w:rPr>
          <w:rFonts w:ascii="Arial" w:hAnsi="Arial" w:cs="Arial"/>
          <w:sz w:val="24"/>
          <w:szCs w:val="24"/>
        </w:rPr>
        <w:t xml:space="preserve"> held biweekly</w:t>
      </w:r>
      <w:r w:rsidR="00567DF8" w:rsidRPr="00B1350E">
        <w:rPr>
          <w:rFonts w:ascii="Arial" w:hAnsi="Arial" w:cs="Arial"/>
          <w:sz w:val="24"/>
          <w:szCs w:val="24"/>
        </w:rPr>
        <w:t xml:space="preserve"> from late May through early July</w:t>
      </w:r>
      <w:r w:rsidR="00A15CD9" w:rsidRPr="00B1350E">
        <w:rPr>
          <w:rFonts w:ascii="Arial" w:hAnsi="Arial" w:cs="Arial"/>
          <w:sz w:val="24"/>
          <w:szCs w:val="24"/>
        </w:rPr>
        <w:t xml:space="preserve"> 2011</w:t>
      </w:r>
      <w:r w:rsidR="0028277D" w:rsidRPr="00B1350E">
        <w:rPr>
          <w:rFonts w:ascii="Arial" w:hAnsi="Arial" w:cs="Arial"/>
          <w:sz w:val="24"/>
          <w:szCs w:val="24"/>
        </w:rPr>
        <w:t>.  T</w:t>
      </w:r>
      <w:r w:rsidR="006759E4" w:rsidRPr="00B1350E">
        <w:rPr>
          <w:rFonts w:ascii="Arial" w:hAnsi="Arial" w:cs="Arial"/>
          <w:sz w:val="24"/>
          <w:szCs w:val="24"/>
        </w:rPr>
        <w:t>eams completed</w:t>
      </w:r>
      <w:r w:rsidRPr="00B1350E">
        <w:rPr>
          <w:rFonts w:ascii="Arial" w:hAnsi="Arial" w:cs="Arial"/>
          <w:sz w:val="24"/>
          <w:szCs w:val="24"/>
        </w:rPr>
        <w:t xml:space="preserve"> </w:t>
      </w:r>
      <w:r w:rsidR="0028277D" w:rsidRPr="00B1350E">
        <w:rPr>
          <w:rFonts w:ascii="Arial" w:hAnsi="Arial" w:cs="Arial"/>
          <w:sz w:val="24"/>
          <w:szCs w:val="24"/>
        </w:rPr>
        <w:t>backwards logic maps</w:t>
      </w:r>
      <w:r w:rsidR="003B6364" w:rsidRPr="00B1350E">
        <w:rPr>
          <w:rFonts w:ascii="Arial" w:hAnsi="Arial" w:cs="Arial"/>
          <w:sz w:val="24"/>
          <w:szCs w:val="24"/>
        </w:rPr>
        <w:t xml:space="preserve"> correlated to the six federal priorities</w:t>
      </w:r>
      <w:r w:rsidR="0028277D" w:rsidRPr="00B1350E">
        <w:rPr>
          <w:rFonts w:ascii="Arial" w:hAnsi="Arial" w:cs="Arial"/>
          <w:sz w:val="24"/>
          <w:szCs w:val="24"/>
        </w:rPr>
        <w:t xml:space="preserve">.  </w:t>
      </w:r>
      <w:r w:rsidR="00640D3A" w:rsidRPr="00B1350E">
        <w:rPr>
          <w:rFonts w:ascii="Arial" w:hAnsi="Arial" w:cs="Arial"/>
          <w:sz w:val="24"/>
          <w:szCs w:val="24"/>
        </w:rPr>
        <w:t>The</w:t>
      </w:r>
      <w:r w:rsidR="00B97C02" w:rsidRPr="00B1350E">
        <w:rPr>
          <w:rFonts w:ascii="Arial" w:hAnsi="Arial" w:cs="Arial"/>
          <w:sz w:val="24"/>
          <w:szCs w:val="24"/>
        </w:rPr>
        <w:t>y</w:t>
      </w:r>
      <w:r w:rsidR="00640D3A" w:rsidRPr="00B1350E">
        <w:rPr>
          <w:rFonts w:ascii="Arial" w:hAnsi="Arial" w:cs="Arial"/>
          <w:sz w:val="24"/>
          <w:szCs w:val="24"/>
        </w:rPr>
        <w:t xml:space="preserve"> identified and recommended strategies </w:t>
      </w:r>
      <w:r w:rsidR="00063B11">
        <w:rPr>
          <w:rFonts w:ascii="Arial" w:hAnsi="Arial" w:cs="Arial"/>
          <w:sz w:val="24"/>
          <w:szCs w:val="24"/>
        </w:rPr>
        <w:t xml:space="preserve">to attain </w:t>
      </w:r>
      <w:r w:rsidR="00640D3A" w:rsidRPr="00B1350E">
        <w:rPr>
          <w:rFonts w:ascii="Arial" w:hAnsi="Arial" w:cs="Arial"/>
          <w:sz w:val="24"/>
          <w:szCs w:val="24"/>
        </w:rPr>
        <w:t>objectives</w:t>
      </w:r>
      <w:r w:rsidR="00013A26" w:rsidRPr="00B1350E">
        <w:rPr>
          <w:rFonts w:ascii="Arial" w:hAnsi="Arial" w:cs="Arial"/>
          <w:sz w:val="24"/>
          <w:szCs w:val="24"/>
        </w:rPr>
        <w:t xml:space="preserve"> associated with their priority</w:t>
      </w:r>
      <w:r w:rsidR="00640D3A" w:rsidRPr="00B1350E">
        <w:rPr>
          <w:rFonts w:ascii="Arial" w:hAnsi="Arial" w:cs="Arial"/>
          <w:sz w:val="24"/>
          <w:szCs w:val="24"/>
        </w:rPr>
        <w:t xml:space="preserve">, either </w:t>
      </w:r>
      <w:r w:rsidR="00696FB5" w:rsidRPr="00B1350E">
        <w:rPr>
          <w:rFonts w:ascii="Arial" w:hAnsi="Arial" w:cs="Arial"/>
          <w:sz w:val="24"/>
          <w:szCs w:val="24"/>
        </w:rPr>
        <w:t>directly or indirectly through “</w:t>
      </w:r>
      <w:r w:rsidR="00657DCF" w:rsidRPr="00B1350E">
        <w:rPr>
          <w:rFonts w:ascii="Arial" w:hAnsi="Arial" w:cs="Arial"/>
          <w:sz w:val="24"/>
          <w:szCs w:val="24"/>
        </w:rPr>
        <w:t xml:space="preserve">capturing” </w:t>
      </w:r>
      <w:r w:rsidR="00657DCF">
        <w:rPr>
          <w:rFonts w:ascii="Arial" w:hAnsi="Arial" w:cs="Arial"/>
          <w:sz w:val="24"/>
          <w:szCs w:val="24"/>
        </w:rPr>
        <w:t>a</w:t>
      </w:r>
      <w:r w:rsidR="00657DCF" w:rsidRPr="00B1350E">
        <w:rPr>
          <w:rFonts w:ascii="Arial" w:hAnsi="Arial" w:cs="Arial"/>
          <w:sz w:val="24"/>
          <w:szCs w:val="24"/>
        </w:rPr>
        <w:t>n</w:t>
      </w:r>
      <w:r w:rsidR="00696FB5" w:rsidRPr="00B1350E">
        <w:rPr>
          <w:rFonts w:ascii="Arial" w:hAnsi="Arial" w:cs="Arial"/>
          <w:sz w:val="24"/>
          <w:szCs w:val="24"/>
        </w:rPr>
        <w:t xml:space="preserve"> opportunity or barrier</w:t>
      </w:r>
      <w:r w:rsidR="00567DF8" w:rsidRPr="00B1350E">
        <w:rPr>
          <w:rFonts w:ascii="Arial" w:hAnsi="Arial" w:cs="Arial"/>
          <w:sz w:val="24"/>
          <w:szCs w:val="24"/>
        </w:rPr>
        <w:t xml:space="preserve">. </w:t>
      </w:r>
      <w:r w:rsidR="00696FB5" w:rsidRPr="00B1350E">
        <w:rPr>
          <w:rFonts w:ascii="Arial" w:hAnsi="Arial" w:cs="Arial"/>
          <w:sz w:val="24"/>
          <w:szCs w:val="24"/>
        </w:rPr>
        <w:t xml:space="preserve"> </w:t>
      </w:r>
      <w:r w:rsidR="00063B11" w:rsidRPr="0097358E">
        <w:rPr>
          <w:rFonts w:ascii="Arial" w:hAnsi="Arial" w:cs="Arial"/>
          <w:sz w:val="24"/>
          <w:szCs w:val="24"/>
        </w:rPr>
        <w:t>Figure 1.3</w:t>
      </w:r>
      <w:r w:rsidR="00696FB5" w:rsidRPr="0097358E">
        <w:rPr>
          <w:rFonts w:ascii="Arial" w:hAnsi="Arial" w:cs="Arial"/>
          <w:sz w:val="24"/>
          <w:szCs w:val="24"/>
        </w:rPr>
        <w:t xml:space="preserve"> </w:t>
      </w:r>
      <w:r w:rsidR="00A15CD9" w:rsidRPr="00B1350E">
        <w:rPr>
          <w:rFonts w:ascii="Arial" w:hAnsi="Arial" w:cs="Arial"/>
          <w:sz w:val="24"/>
          <w:szCs w:val="24"/>
        </w:rPr>
        <w:t>illustrates a sample</w:t>
      </w:r>
      <w:r w:rsidR="00696FB5" w:rsidRPr="00B1350E">
        <w:rPr>
          <w:rFonts w:ascii="Arial" w:hAnsi="Arial" w:cs="Arial"/>
          <w:sz w:val="24"/>
          <w:szCs w:val="24"/>
        </w:rPr>
        <w:t xml:space="preserve"> </w:t>
      </w:r>
      <w:r w:rsidR="00640D3A" w:rsidRPr="00B1350E">
        <w:rPr>
          <w:rFonts w:ascii="Arial" w:hAnsi="Arial" w:cs="Arial"/>
          <w:sz w:val="24"/>
          <w:szCs w:val="24"/>
        </w:rPr>
        <w:t>backwards logic map</w:t>
      </w:r>
      <w:r w:rsidR="00874A28" w:rsidRPr="00B1350E">
        <w:rPr>
          <w:rFonts w:ascii="Arial" w:hAnsi="Arial" w:cs="Arial"/>
          <w:sz w:val="24"/>
          <w:szCs w:val="24"/>
        </w:rPr>
        <w:t xml:space="preserve"> produced during that time</w:t>
      </w:r>
      <w:r w:rsidR="00696FB5" w:rsidRPr="00B1350E">
        <w:rPr>
          <w:rFonts w:ascii="Arial" w:hAnsi="Arial" w:cs="Arial"/>
          <w:sz w:val="24"/>
          <w:szCs w:val="24"/>
        </w:rPr>
        <w:t>.</w:t>
      </w:r>
    </w:p>
    <w:p w:rsidR="00063B11" w:rsidRDefault="00063B11" w:rsidP="008D59F8">
      <w:pPr>
        <w:pStyle w:val="Body1"/>
        <w:spacing w:before="120" w:after="120" w:line="360" w:lineRule="auto"/>
        <w:rPr>
          <w:rFonts w:ascii="Arial" w:hAnsi="Arial" w:cs="Arial"/>
          <w:sz w:val="24"/>
          <w:szCs w:val="24"/>
        </w:rPr>
      </w:pPr>
    </w:p>
    <w:p w:rsidR="00063B11" w:rsidRPr="00063B11" w:rsidRDefault="00063B11" w:rsidP="008D59F8">
      <w:pPr>
        <w:pStyle w:val="Body1"/>
        <w:spacing w:before="120" w:after="120" w:line="360" w:lineRule="auto"/>
        <w:rPr>
          <w:rFonts w:ascii="Arial" w:hAnsi="Arial" w:cs="Arial"/>
          <w:b/>
          <w:i/>
          <w:sz w:val="24"/>
          <w:szCs w:val="24"/>
          <w:u w:val="single"/>
        </w:rPr>
      </w:pPr>
      <w:r w:rsidRPr="00063B11">
        <w:rPr>
          <w:rFonts w:ascii="Arial" w:hAnsi="Arial" w:cs="Arial"/>
          <w:b/>
          <w:i/>
          <w:sz w:val="24"/>
          <w:szCs w:val="24"/>
          <w:u w:val="single"/>
        </w:rPr>
        <w:t>Insert Figure 1.3.</w:t>
      </w:r>
    </w:p>
    <w:p w:rsidR="00063B11" w:rsidRPr="00B1350E" w:rsidRDefault="00063B11" w:rsidP="008D59F8">
      <w:pPr>
        <w:pStyle w:val="Body1"/>
        <w:spacing w:before="120" w:after="120" w:line="360" w:lineRule="auto"/>
        <w:rPr>
          <w:rFonts w:ascii="Arial" w:hAnsi="Arial" w:cs="Arial"/>
          <w:sz w:val="24"/>
          <w:szCs w:val="24"/>
        </w:rPr>
      </w:pPr>
    </w:p>
    <w:p w:rsidR="00063B11" w:rsidRDefault="00013A26" w:rsidP="008D59F8">
      <w:pPr>
        <w:pStyle w:val="Body1"/>
        <w:spacing w:before="120" w:after="120" w:line="360" w:lineRule="auto"/>
        <w:rPr>
          <w:rFonts w:ascii="Arial" w:hAnsi="Arial" w:cs="Arial"/>
          <w:sz w:val="24"/>
          <w:szCs w:val="24"/>
        </w:rPr>
      </w:pPr>
      <w:r w:rsidRPr="00B1350E">
        <w:rPr>
          <w:rFonts w:ascii="Arial" w:hAnsi="Arial" w:cs="Arial"/>
          <w:sz w:val="24"/>
          <w:szCs w:val="24"/>
        </w:rPr>
        <w:lastRenderedPageBreak/>
        <w:t xml:space="preserve">The </w:t>
      </w:r>
      <w:r w:rsidR="00696FB5" w:rsidRPr="00B1350E">
        <w:rPr>
          <w:rFonts w:ascii="Arial" w:hAnsi="Arial" w:cs="Arial"/>
          <w:sz w:val="24"/>
          <w:szCs w:val="24"/>
        </w:rPr>
        <w:t xml:space="preserve">backward mapping efforts were most successful in identifying </w:t>
      </w:r>
      <w:r w:rsidR="00A15CD9" w:rsidRPr="00B1350E">
        <w:rPr>
          <w:rFonts w:ascii="Arial" w:hAnsi="Arial" w:cs="Arial"/>
          <w:sz w:val="24"/>
          <w:szCs w:val="24"/>
        </w:rPr>
        <w:t xml:space="preserve">specific </w:t>
      </w:r>
      <w:r w:rsidR="00696FB5" w:rsidRPr="00B1350E">
        <w:rPr>
          <w:rFonts w:ascii="Arial" w:hAnsi="Arial" w:cs="Arial"/>
          <w:sz w:val="24"/>
          <w:szCs w:val="24"/>
        </w:rPr>
        <w:t xml:space="preserve">objectives and </w:t>
      </w:r>
      <w:r w:rsidR="00885A41" w:rsidRPr="00B1350E">
        <w:rPr>
          <w:rFonts w:ascii="Arial" w:hAnsi="Arial" w:cs="Arial"/>
          <w:sz w:val="24"/>
          <w:szCs w:val="24"/>
        </w:rPr>
        <w:t>associated barriers and opportunities</w:t>
      </w:r>
      <w:r w:rsidR="00696FB5" w:rsidRPr="00B1350E">
        <w:rPr>
          <w:rFonts w:ascii="Arial" w:hAnsi="Arial" w:cs="Arial"/>
          <w:sz w:val="24"/>
          <w:szCs w:val="24"/>
        </w:rPr>
        <w:t xml:space="preserve">.  </w:t>
      </w:r>
      <w:r w:rsidR="00480E11" w:rsidRPr="00B1350E">
        <w:rPr>
          <w:rFonts w:ascii="Arial" w:hAnsi="Arial" w:cs="Arial"/>
          <w:sz w:val="24"/>
          <w:szCs w:val="24"/>
        </w:rPr>
        <w:t>T</w:t>
      </w:r>
      <w:r w:rsidR="00567DF8" w:rsidRPr="00B1350E">
        <w:rPr>
          <w:rFonts w:ascii="Arial" w:hAnsi="Arial" w:cs="Arial"/>
          <w:sz w:val="24"/>
          <w:szCs w:val="24"/>
        </w:rPr>
        <w:t xml:space="preserve">hey were less successful in </w:t>
      </w:r>
      <w:r w:rsidR="00A15CD9" w:rsidRPr="00B1350E">
        <w:rPr>
          <w:rFonts w:ascii="Arial" w:hAnsi="Arial" w:cs="Arial"/>
          <w:sz w:val="24"/>
          <w:szCs w:val="24"/>
        </w:rPr>
        <w:t xml:space="preserve">articulating </w:t>
      </w:r>
      <w:r w:rsidR="00567DF8" w:rsidRPr="00B1350E">
        <w:rPr>
          <w:rFonts w:ascii="Arial" w:hAnsi="Arial" w:cs="Arial"/>
          <w:sz w:val="24"/>
          <w:szCs w:val="24"/>
        </w:rPr>
        <w:t xml:space="preserve">the logic </w:t>
      </w:r>
      <w:r w:rsidR="000770D8" w:rsidRPr="00B1350E">
        <w:rPr>
          <w:rFonts w:ascii="Arial" w:hAnsi="Arial" w:cs="Arial"/>
          <w:sz w:val="24"/>
          <w:szCs w:val="24"/>
        </w:rPr>
        <w:t>by which</w:t>
      </w:r>
      <w:r w:rsidR="00480E11" w:rsidRPr="00B1350E">
        <w:rPr>
          <w:rFonts w:ascii="Arial" w:hAnsi="Arial" w:cs="Arial"/>
          <w:sz w:val="24"/>
          <w:szCs w:val="24"/>
        </w:rPr>
        <w:t xml:space="preserve"> a successful </w:t>
      </w:r>
      <w:r w:rsidR="00696FB5" w:rsidRPr="00B1350E">
        <w:rPr>
          <w:rFonts w:ascii="Arial" w:hAnsi="Arial" w:cs="Arial"/>
          <w:sz w:val="24"/>
          <w:szCs w:val="24"/>
        </w:rPr>
        <w:t xml:space="preserve">program </w:t>
      </w:r>
      <w:r w:rsidRPr="00B1350E">
        <w:rPr>
          <w:rFonts w:ascii="Arial" w:hAnsi="Arial" w:cs="Arial"/>
          <w:sz w:val="24"/>
          <w:szCs w:val="24"/>
        </w:rPr>
        <w:t>could reach</w:t>
      </w:r>
      <w:r w:rsidR="00696FB5" w:rsidRPr="00B1350E">
        <w:rPr>
          <w:rFonts w:ascii="Arial" w:hAnsi="Arial" w:cs="Arial"/>
          <w:sz w:val="24"/>
          <w:szCs w:val="24"/>
        </w:rPr>
        <w:t xml:space="preserve"> </w:t>
      </w:r>
      <w:r w:rsidR="000770D8" w:rsidRPr="00B1350E">
        <w:rPr>
          <w:rFonts w:ascii="Arial" w:hAnsi="Arial" w:cs="Arial"/>
          <w:sz w:val="24"/>
          <w:szCs w:val="24"/>
        </w:rPr>
        <w:t>its</w:t>
      </w:r>
      <w:r w:rsidR="00696FB5" w:rsidRPr="00B1350E">
        <w:rPr>
          <w:rFonts w:ascii="Arial" w:hAnsi="Arial" w:cs="Arial"/>
          <w:sz w:val="24"/>
          <w:szCs w:val="24"/>
        </w:rPr>
        <w:t xml:space="preserve"> objective. </w:t>
      </w:r>
      <w:r w:rsidR="00063B11">
        <w:rPr>
          <w:rFonts w:ascii="Arial" w:hAnsi="Arial" w:cs="Arial"/>
          <w:sz w:val="24"/>
          <w:szCs w:val="24"/>
        </w:rPr>
        <w:t xml:space="preserve"> </w:t>
      </w:r>
      <w:r w:rsidR="00696FB5" w:rsidRPr="00B1350E">
        <w:rPr>
          <w:rFonts w:ascii="Arial" w:hAnsi="Arial" w:cs="Arial"/>
          <w:sz w:val="24"/>
          <w:szCs w:val="24"/>
        </w:rPr>
        <w:t xml:space="preserve">Sometimes the program and objective </w:t>
      </w:r>
      <w:r w:rsidR="00480E11" w:rsidRPr="00B1350E">
        <w:rPr>
          <w:rFonts w:ascii="Arial" w:hAnsi="Arial" w:cs="Arial"/>
          <w:sz w:val="24"/>
          <w:szCs w:val="24"/>
        </w:rPr>
        <w:t xml:space="preserve">were considered </w:t>
      </w:r>
      <w:r w:rsidR="00696FB5" w:rsidRPr="00B1350E">
        <w:rPr>
          <w:rFonts w:ascii="Arial" w:hAnsi="Arial" w:cs="Arial"/>
          <w:sz w:val="24"/>
          <w:szCs w:val="24"/>
        </w:rPr>
        <w:t xml:space="preserve">identical.  </w:t>
      </w:r>
      <w:r w:rsidR="00D61688" w:rsidRPr="00B1350E">
        <w:rPr>
          <w:rFonts w:ascii="Arial" w:hAnsi="Arial" w:cs="Arial"/>
          <w:sz w:val="24"/>
          <w:szCs w:val="24"/>
        </w:rPr>
        <w:t xml:space="preserve">Other strategies focused on related efforts </w:t>
      </w:r>
      <w:r w:rsidR="00D61688">
        <w:rPr>
          <w:rFonts w:ascii="Arial" w:hAnsi="Arial" w:cs="Arial"/>
          <w:sz w:val="24"/>
          <w:szCs w:val="24"/>
        </w:rPr>
        <w:t>such as</w:t>
      </w:r>
      <w:r w:rsidR="00D61688" w:rsidRPr="00B1350E">
        <w:rPr>
          <w:rFonts w:ascii="Arial" w:hAnsi="Arial" w:cs="Arial"/>
          <w:sz w:val="24"/>
          <w:szCs w:val="24"/>
        </w:rPr>
        <w:t xml:space="preserve"> advocacy.  While participants homed in on key opportunities and barriers that could affect achievement of a selected objective, it often remained unclear how a strategy or bundle of strategies could capture external opportunities or barriers to produce the desired result.</w:t>
      </w:r>
    </w:p>
    <w:p w:rsidR="00696FB5" w:rsidRPr="00063B11" w:rsidRDefault="00696FB5" w:rsidP="008D59F8">
      <w:pPr>
        <w:pStyle w:val="Body1"/>
        <w:spacing w:before="120" w:after="120" w:line="360" w:lineRule="auto"/>
        <w:rPr>
          <w:rFonts w:ascii="Arial" w:hAnsi="Arial" w:cs="Arial"/>
          <w:b/>
          <w:sz w:val="24"/>
          <w:szCs w:val="24"/>
        </w:rPr>
      </w:pPr>
      <w:r w:rsidRPr="00B1350E">
        <w:rPr>
          <w:rFonts w:ascii="Arial" w:hAnsi="Arial" w:cs="Arial"/>
          <w:sz w:val="24"/>
          <w:szCs w:val="24"/>
        </w:rPr>
        <w:t xml:space="preserve">  </w:t>
      </w:r>
      <w:r w:rsidRPr="00063B11">
        <w:rPr>
          <w:rFonts w:ascii="Arial" w:hAnsi="Arial" w:cs="Arial"/>
          <w:b/>
          <w:sz w:val="24"/>
          <w:szCs w:val="24"/>
        </w:rPr>
        <w:t>Forward Logic Mapping</w:t>
      </w:r>
    </w:p>
    <w:p w:rsidR="00921A46" w:rsidRPr="00B1350E" w:rsidRDefault="003C6BD6" w:rsidP="008D59F8">
      <w:pPr>
        <w:pStyle w:val="Body1"/>
        <w:spacing w:before="120" w:after="120" w:line="360" w:lineRule="auto"/>
        <w:rPr>
          <w:rFonts w:ascii="Arial" w:hAnsi="Arial" w:cs="Arial"/>
          <w:sz w:val="24"/>
          <w:szCs w:val="24"/>
        </w:rPr>
      </w:pPr>
      <w:r w:rsidRPr="00B1350E">
        <w:rPr>
          <w:rFonts w:ascii="Arial" w:hAnsi="Arial" w:cs="Arial"/>
          <w:sz w:val="24"/>
          <w:szCs w:val="24"/>
        </w:rPr>
        <w:t>By July</w:t>
      </w:r>
      <w:r w:rsidR="009D291F" w:rsidRPr="00B1350E">
        <w:rPr>
          <w:rFonts w:ascii="Arial" w:hAnsi="Arial" w:cs="Arial"/>
          <w:sz w:val="24"/>
          <w:szCs w:val="24"/>
        </w:rPr>
        <w:t xml:space="preserve">, </w:t>
      </w:r>
      <w:r w:rsidR="007A3C06" w:rsidRPr="00B1350E">
        <w:rPr>
          <w:rFonts w:ascii="Arial" w:hAnsi="Arial" w:cs="Arial"/>
          <w:sz w:val="24"/>
          <w:szCs w:val="24"/>
        </w:rPr>
        <w:t>many</w:t>
      </w:r>
      <w:r w:rsidR="00063B11">
        <w:rPr>
          <w:rFonts w:ascii="Arial" w:hAnsi="Arial" w:cs="Arial"/>
          <w:sz w:val="24"/>
          <w:szCs w:val="24"/>
        </w:rPr>
        <w:t xml:space="preserve"> SLAA participants were</w:t>
      </w:r>
      <w:r w:rsidR="00D13225" w:rsidRPr="00B1350E">
        <w:rPr>
          <w:rFonts w:ascii="Arial" w:hAnsi="Arial" w:cs="Arial"/>
          <w:sz w:val="24"/>
          <w:szCs w:val="24"/>
        </w:rPr>
        <w:t xml:space="preserve"> </w:t>
      </w:r>
      <w:r w:rsidR="00921A46" w:rsidRPr="00B1350E">
        <w:rPr>
          <w:rFonts w:ascii="Arial" w:hAnsi="Arial" w:cs="Arial"/>
          <w:sz w:val="24"/>
          <w:szCs w:val="24"/>
        </w:rPr>
        <w:t xml:space="preserve">interacting </w:t>
      </w:r>
      <w:r w:rsidR="00063B11">
        <w:rPr>
          <w:rFonts w:ascii="Arial" w:hAnsi="Arial" w:cs="Arial"/>
          <w:sz w:val="24"/>
          <w:szCs w:val="24"/>
        </w:rPr>
        <w:t>frequently</w:t>
      </w:r>
      <w:r w:rsidR="00063B11" w:rsidRPr="00063B11">
        <w:rPr>
          <w:rFonts w:ascii="Arial" w:hAnsi="Arial" w:cs="Arial"/>
          <w:sz w:val="24"/>
          <w:szCs w:val="24"/>
        </w:rPr>
        <w:t xml:space="preserve"> </w:t>
      </w:r>
      <w:r w:rsidR="00063B11" w:rsidRPr="00B1350E">
        <w:rPr>
          <w:rFonts w:ascii="Arial" w:hAnsi="Arial" w:cs="Arial"/>
          <w:sz w:val="24"/>
          <w:szCs w:val="24"/>
        </w:rPr>
        <w:t>in various teams</w:t>
      </w:r>
      <w:r w:rsidR="00063B11">
        <w:rPr>
          <w:rFonts w:ascii="Arial" w:hAnsi="Arial" w:cs="Arial"/>
          <w:sz w:val="24"/>
          <w:szCs w:val="24"/>
        </w:rPr>
        <w:t xml:space="preserve">, </w:t>
      </w:r>
      <w:r w:rsidR="006651B7" w:rsidRPr="00B1350E">
        <w:rPr>
          <w:rFonts w:ascii="Arial" w:hAnsi="Arial" w:cs="Arial"/>
          <w:sz w:val="24"/>
          <w:szCs w:val="24"/>
        </w:rPr>
        <w:t>virtually and</w:t>
      </w:r>
      <w:r w:rsidR="00B97C02" w:rsidRPr="00B1350E">
        <w:rPr>
          <w:rFonts w:ascii="Arial" w:hAnsi="Arial" w:cs="Arial"/>
          <w:sz w:val="24"/>
          <w:szCs w:val="24"/>
        </w:rPr>
        <w:t xml:space="preserve"> by telephone</w:t>
      </w:r>
      <w:r w:rsidRPr="00B1350E">
        <w:rPr>
          <w:rFonts w:ascii="Arial" w:hAnsi="Arial" w:cs="Arial"/>
          <w:sz w:val="24"/>
          <w:szCs w:val="24"/>
        </w:rPr>
        <w:t xml:space="preserve">.  </w:t>
      </w:r>
      <w:r w:rsidR="000770D8" w:rsidRPr="00B1350E">
        <w:rPr>
          <w:rFonts w:ascii="Arial" w:hAnsi="Arial" w:cs="Arial"/>
          <w:sz w:val="24"/>
          <w:szCs w:val="24"/>
        </w:rPr>
        <w:t>They</w:t>
      </w:r>
      <w:r w:rsidRPr="00B1350E">
        <w:rPr>
          <w:rFonts w:ascii="Arial" w:hAnsi="Arial" w:cs="Arial"/>
          <w:sz w:val="24"/>
          <w:szCs w:val="24"/>
        </w:rPr>
        <w:t xml:space="preserve"> </w:t>
      </w:r>
      <w:r w:rsidR="00063B11">
        <w:rPr>
          <w:rFonts w:ascii="Arial" w:hAnsi="Arial" w:cs="Arial"/>
          <w:sz w:val="24"/>
          <w:szCs w:val="24"/>
        </w:rPr>
        <w:t xml:space="preserve">included </w:t>
      </w:r>
      <w:r w:rsidR="00D61688">
        <w:rPr>
          <w:rFonts w:ascii="Arial" w:hAnsi="Arial" w:cs="Arial"/>
          <w:sz w:val="24"/>
          <w:szCs w:val="24"/>
        </w:rPr>
        <w:t>c</w:t>
      </w:r>
      <w:r w:rsidR="000770D8" w:rsidRPr="00B1350E">
        <w:rPr>
          <w:rFonts w:ascii="Arial" w:hAnsi="Arial" w:cs="Arial"/>
          <w:sz w:val="24"/>
          <w:szCs w:val="24"/>
        </w:rPr>
        <w:t>hiefs</w:t>
      </w:r>
      <w:r w:rsidR="00063B11">
        <w:rPr>
          <w:rFonts w:ascii="Arial" w:hAnsi="Arial" w:cs="Arial"/>
          <w:sz w:val="24"/>
          <w:szCs w:val="24"/>
        </w:rPr>
        <w:t xml:space="preserve">, </w:t>
      </w:r>
      <w:r w:rsidRPr="00B1350E">
        <w:rPr>
          <w:rFonts w:ascii="Arial" w:hAnsi="Arial" w:cs="Arial"/>
          <w:sz w:val="24"/>
          <w:szCs w:val="24"/>
        </w:rPr>
        <w:t>senior librarians</w:t>
      </w:r>
      <w:r w:rsidR="00063B11">
        <w:rPr>
          <w:rFonts w:ascii="Arial" w:hAnsi="Arial" w:cs="Arial"/>
          <w:sz w:val="24"/>
          <w:szCs w:val="24"/>
        </w:rPr>
        <w:t xml:space="preserve">, </w:t>
      </w:r>
      <w:r w:rsidR="0097358E">
        <w:rPr>
          <w:rFonts w:ascii="Arial" w:hAnsi="Arial" w:cs="Arial"/>
          <w:sz w:val="24"/>
          <w:szCs w:val="24"/>
        </w:rPr>
        <w:t xml:space="preserve">and </w:t>
      </w:r>
      <w:r w:rsidRPr="00B1350E">
        <w:rPr>
          <w:rFonts w:ascii="Arial" w:hAnsi="Arial" w:cs="Arial"/>
          <w:sz w:val="24"/>
          <w:szCs w:val="24"/>
        </w:rPr>
        <w:t xml:space="preserve">mid-level professionals.  </w:t>
      </w:r>
    </w:p>
    <w:p w:rsidR="00823592" w:rsidRPr="00B1350E" w:rsidRDefault="00921A46" w:rsidP="008D59F8">
      <w:pPr>
        <w:pStyle w:val="Body1"/>
        <w:spacing w:before="120" w:after="120" w:line="360" w:lineRule="auto"/>
        <w:rPr>
          <w:rFonts w:ascii="Arial" w:hAnsi="Arial" w:cs="Arial"/>
          <w:sz w:val="24"/>
          <w:szCs w:val="24"/>
        </w:rPr>
      </w:pPr>
      <w:r w:rsidRPr="00B1350E">
        <w:rPr>
          <w:rFonts w:ascii="Arial" w:hAnsi="Arial" w:cs="Arial"/>
          <w:sz w:val="24"/>
          <w:szCs w:val="24"/>
        </w:rPr>
        <w:t xml:space="preserve">In furthering momentum for </w:t>
      </w:r>
      <w:r w:rsidR="00885A41" w:rsidRPr="00B1350E">
        <w:rPr>
          <w:rFonts w:ascii="Arial" w:hAnsi="Arial" w:cs="Arial"/>
          <w:sz w:val="24"/>
          <w:szCs w:val="24"/>
        </w:rPr>
        <w:t xml:space="preserve">emerging </w:t>
      </w:r>
      <w:r w:rsidRPr="00B1350E">
        <w:rPr>
          <w:rFonts w:ascii="Arial" w:hAnsi="Arial" w:cs="Arial"/>
          <w:sz w:val="24"/>
          <w:szCs w:val="24"/>
        </w:rPr>
        <w:t>communities of practice</w:t>
      </w:r>
      <w:r w:rsidR="000770D8" w:rsidRPr="00B1350E">
        <w:rPr>
          <w:rFonts w:ascii="Arial" w:hAnsi="Arial" w:cs="Arial"/>
          <w:sz w:val="24"/>
          <w:szCs w:val="24"/>
        </w:rPr>
        <w:t xml:space="preserve"> (another underlying goal of the process)</w:t>
      </w:r>
      <w:r w:rsidRPr="00B1350E">
        <w:rPr>
          <w:rFonts w:ascii="Arial" w:hAnsi="Arial" w:cs="Arial"/>
          <w:sz w:val="24"/>
          <w:szCs w:val="24"/>
        </w:rPr>
        <w:t xml:space="preserve">, </w:t>
      </w:r>
      <w:r w:rsidR="00D13225" w:rsidRPr="00B1350E">
        <w:rPr>
          <w:rFonts w:ascii="Arial" w:hAnsi="Arial" w:cs="Arial"/>
          <w:sz w:val="24"/>
          <w:szCs w:val="24"/>
        </w:rPr>
        <w:t xml:space="preserve">the </w:t>
      </w:r>
      <w:r w:rsidRPr="00B1350E">
        <w:rPr>
          <w:rFonts w:ascii="Arial" w:hAnsi="Arial" w:cs="Arial"/>
          <w:sz w:val="24"/>
          <w:szCs w:val="24"/>
        </w:rPr>
        <w:t xml:space="preserve">teams began to use “forward logic mapping” to build out the new </w:t>
      </w:r>
      <w:r w:rsidR="00B97C02" w:rsidRPr="00B1350E">
        <w:rPr>
          <w:rFonts w:ascii="Arial" w:hAnsi="Arial" w:cs="Arial"/>
          <w:sz w:val="24"/>
          <w:szCs w:val="24"/>
        </w:rPr>
        <w:t>evaluation scheme</w:t>
      </w:r>
      <w:r w:rsidRPr="00B1350E">
        <w:rPr>
          <w:rFonts w:ascii="Arial" w:hAnsi="Arial" w:cs="Arial"/>
          <w:sz w:val="24"/>
          <w:szCs w:val="24"/>
        </w:rPr>
        <w:t xml:space="preserve">.  SLAA and IMLS participants </w:t>
      </w:r>
      <w:r w:rsidR="006759E4" w:rsidRPr="00B1350E">
        <w:rPr>
          <w:rFonts w:ascii="Arial" w:hAnsi="Arial" w:cs="Arial"/>
          <w:sz w:val="24"/>
          <w:szCs w:val="24"/>
        </w:rPr>
        <w:t>referred</w:t>
      </w:r>
      <w:r w:rsidR="00885A41" w:rsidRPr="00B1350E">
        <w:rPr>
          <w:rFonts w:ascii="Arial" w:hAnsi="Arial" w:cs="Arial"/>
          <w:sz w:val="24"/>
          <w:szCs w:val="24"/>
        </w:rPr>
        <w:t xml:space="preserve"> to these </w:t>
      </w:r>
      <w:r w:rsidRPr="00B1350E">
        <w:rPr>
          <w:rFonts w:ascii="Arial" w:hAnsi="Arial" w:cs="Arial"/>
          <w:sz w:val="24"/>
          <w:szCs w:val="24"/>
        </w:rPr>
        <w:t xml:space="preserve">logic maps </w:t>
      </w:r>
      <w:r w:rsidR="00885A41" w:rsidRPr="00B1350E">
        <w:rPr>
          <w:rFonts w:ascii="Arial" w:hAnsi="Arial" w:cs="Arial"/>
          <w:sz w:val="24"/>
          <w:szCs w:val="24"/>
        </w:rPr>
        <w:t xml:space="preserve">as </w:t>
      </w:r>
      <w:r w:rsidRPr="00B1350E">
        <w:rPr>
          <w:rFonts w:ascii="Arial" w:hAnsi="Arial" w:cs="Arial"/>
          <w:sz w:val="24"/>
          <w:szCs w:val="24"/>
        </w:rPr>
        <w:t xml:space="preserve">“results chains.”  </w:t>
      </w:r>
      <w:r w:rsidR="0043129C" w:rsidRPr="00B1350E">
        <w:rPr>
          <w:rFonts w:ascii="Arial" w:hAnsi="Arial" w:cs="Arial"/>
          <w:sz w:val="24"/>
          <w:szCs w:val="24"/>
        </w:rPr>
        <w:t>F</w:t>
      </w:r>
      <w:r w:rsidRPr="00B1350E">
        <w:rPr>
          <w:rFonts w:ascii="Arial" w:hAnsi="Arial" w:cs="Arial"/>
          <w:sz w:val="24"/>
          <w:szCs w:val="24"/>
        </w:rPr>
        <w:t>orward logic map</w:t>
      </w:r>
      <w:r w:rsidR="0097358E">
        <w:rPr>
          <w:rFonts w:ascii="Arial" w:hAnsi="Arial" w:cs="Arial"/>
          <w:sz w:val="24"/>
          <w:szCs w:val="24"/>
        </w:rPr>
        <w:t>s or results chains</w:t>
      </w:r>
      <w:r w:rsidRPr="00B1350E">
        <w:rPr>
          <w:rFonts w:ascii="Arial" w:hAnsi="Arial" w:cs="Arial"/>
          <w:sz w:val="24"/>
          <w:szCs w:val="24"/>
        </w:rPr>
        <w:t xml:space="preserve"> involve</w:t>
      </w:r>
      <w:r w:rsidR="00885A41" w:rsidRPr="00B1350E">
        <w:rPr>
          <w:rFonts w:ascii="Arial" w:hAnsi="Arial" w:cs="Arial"/>
          <w:sz w:val="24"/>
          <w:szCs w:val="24"/>
        </w:rPr>
        <w:t>d</w:t>
      </w:r>
      <w:r w:rsidRPr="00B1350E">
        <w:rPr>
          <w:rFonts w:ascii="Arial" w:hAnsi="Arial" w:cs="Arial"/>
          <w:sz w:val="24"/>
          <w:szCs w:val="24"/>
        </w:rPr>
        <w:t xml:space="preserve"> vetting a series of if/then statements.  Participants began with a strategy articulated towards the end of </w:t>
      </w:r>
      <w:r w:rsidR="00B97C02" w:rsidRPr="00B1350E">
        <w:rPr>
          <w:rFonts w:ascii="Arial" w:hAnsi="Arial" w:cs="Arial"/>
          <w:sz w:val="24"/>
          <w:szCs w:val="24"/>
        </w:rPr>
        <w:t xml:space="preserve">the </w:t>
      </w:r>
      <w:r w:rsidRPr="00B1350E">
        <w:rPr>
          <w:rFonts w:ascii="Arial" w:hAnsi="Arial" w:cs="Arial"/>
          <w:sz w:val="24"/>
          <w:szCs w:val="24"/>
        </w:rPr>
        <w:t>backwards logic map</w:t>
      </w:r>
      <w:r w:rsidR="00063B11" w:rsidRPr="00063B11">
        <w:rPr>
          <w:rFonts w:ascii="Arial" w:hAnsi="Arial" w:cs="Arial"/>
          <w:sz w:val="24"/>
          <w:szCs w:val="24"/>
        </w:rPr>
        <w:t xml:space="preserve"> </w:t>
      </w:r>
      <w:r w:rsidR="00063B11" w:rsidRPr="00B1350E">
        <w:rPr>
          <w:rFonts w:ascii="Arial" w:hAnsi="Arial" w:cs="Arial"/>
          <w:sz w:val="24"/>
          <w:szCs w:val="24"/>
        </w:rPr>
        <w:t>construction</w:t>
      </w:r>
      <w:r w:rsidRPr="00B1350E">
        <w:rPr>
          <w:rFonts w:ascii="Arial" w:hAnsi="Arial" w:cs="Arial"/>
          <w:sz w:val="24"/>
          <w:szCs w:val="24"/>
        </w:rPr>
        <w:t xml:space="preserve">.  </w:t>
      </w:r>
      <w:r w:rsidR="00885A41" w:rsidRPr="00B1350E">
        <w:rPr>
          <w:rFonts w:ascii="Arial" w:hAnsi="Arial" w:cs="Arial"/>
          <w:sz w:val="24"/>
          <w:szCs w:val="24"/>
        </w:rPr>
        <w:t xml:space="preserve">They </w:t>
      </w:r>
      <w:r w:rsidR="0097358E">
        <w:rPr>
          <w:rFonts w:ascii="Arial" w:hAnsi="Arial" w:cs="Arial"/>
          <w:sz w:val="24"/>
          <w:szCs w:val="24"/>
        </w:rPr>
        <w:t xml:space="preserve">then </w:t>
      </w:r>
      <w:r w:rsidRPr="00B1350E">
        <w:rPr>
          <w:rFonts w:ascii="Arial" w:hAnsi="Arial" w:cs="Arial"/>
          <w:sz w:val="24"/>
          <w:szCs w:val="24"/>
        </w:rPr>
        <w:t>postulate</w:t>
      </w:r>
      <w:r w:rsidR="00885A41" w:rsidRPr="00B1350E">
        <w:rPr>
          <w:rFonts w:ascii="Arial" w:hAnsi="Arial" w:cs="Arial"/>
          <w:sz w:val="24"/>
          <w:szCs w:val="24"/>
        </w:rPr>
        <w:t>d</w:t>
      </w:r>
      <w:r w:rsidRPr="00B1350E">
        <w:rPr>
          <w:rFonts w:ascii="Arial" w:hAnsi="Arial" w:cs="Arial"/>
          <w:sz w:val="24"/>
          <w:szCs w:val="24"/>
        </w:rPr>
        <w:t xml:space="preserve"> </w:t>
      </w:r>
      <w:r w:rsidR="00885A41" w:rsidRPr="00B1350E">
        <w:rPr>
          <w:rFonts w:ascii="Arial" w:hAnsi="Arial" w:cs="Arial"/>
          <w:sz w:val="24"/>
          <w:szCs w:val="24"/>
        </w:rPr>
        <w:t>a</w:t>
      </w:r>
      <w:r w:rsidRPr="00B1350E">
        <w:rPr>
          <w:rFonts w:ascii="Arial" w:hAnsi="Arial" w:cs="Arial"/>
          <w:sz w:val="24"/>
          <w:szCs w:val="24"/>
        </w:rPr>
        <w:t xml:space="preserve"> sequence of events that could be expected </w:t>
      </w:r>
      <w:r w:rsidR="0097358E">
        <w:rPr>
          <w:rFonts w:ascii="Arial" w:hAnsi="Arial" w:cs="Arial"/>
          <w:sz w:val="24"/>
          <w:szCs w:val="24"/>
        </w:rPr>
        <w:t>culminating in a suite of outcomes changing the circumstances of some targeted segment of the public</w:t>
      </w:r>
      <w:r w:rsidRPr="00B1350E">
        <w:rPr>
          <w:rFonts w:ascii="Arial" w:hAnsi="Arial" w:cs="Arial"/>
          <w:sz w:val="24"/>
          <w:szCs w:val="24"/>
        </w:rPr>
        <w:t>.</w:t>
      </w:r>
    </w:p>
    <w:p w:rsidR="00823592" w:rsidRPr="00B1350E" w:rsidRDefault="00823592" w:rsidP="008D59F8">
      <w:pPr>
        <w:pStyle w:val="Body1"/>
        <w:spacing w:before="120" w:after="120" w:line="360" w:lineRule="auto"/>
        <w:rPr>
          <w:rFonts w:ascii="Arial" w:hAnsi="Arial" w:cs="Arial"/>
          <w:sz w:val="24"/>
          <w:szCs w:val="24"/>
        </w:rPr>
      </w:pPr>
      <w:r w:rsidRPr="00B1350E">
        <w:rPr>
          <w:rFonts w:ascii="Arial" w:hAnsi="Arial" w:cs="Arial"/>
          <w:sz w:val="24"/>
          <w:szCs w:val="24"/>
        </w:rPr>
        <w:t>The</w:t>
      </w:r>
      <w:r w:rsidR="007E749C" w:rsidRPr="00B1350E">
        <w:rPr>
          <w:rFonts w:ascii="Arial" w:hAnsi="Arial" w:cs="Arial"/>
          <w:sz w:val="24"/>
          <w:szCs w:val="24"/>
        </w:rPr>
        <w:t>se</w:t>
      </w:r>
      <w:r w:rsidRPr="00B1350E">
        <w:rPr>
          <w:rFonts w:ascii="Arial" w:hAnsi="Arial" w:cs="Arial"/>
          <w:sz w:val="24"/>
          <w:szCs w:val="24"/>
        </w:rPr>
        <w:t xml:space="preserve"> results chains differed from traditional logic models in several major ways.  </w:t>
      </w:r>
      <w:r w:rsidR="000770D8" w:rsidRPr="00B1350E">
        <w:rPr>
          <w:rFonts w:ascii="Arial" w:hAnsi="Arial" w:cs="Arial"/>
          <w:sz w:val="24"/>
          <w:szCs w:val="24"/>
        </w:rPr>
        <w:t>B</w:t>
      </w:r>
      <w:r w:rsidR="007E749C" w:rsidRPr="00B1350E">
        <w:rPr>
          <w:rFonts w:ascii="Arial" w:hAnsi="Arial" w:cs="Arial"/>
          <w:sz w:val="24"/>
          <w:szCs w:val="24"/>
        </w:rPr>
        <w:t xml:space="preserve">oth </w:t>
      </w:r>
      <w:r w:rsidRPr="00B1350E">
        <w:rPr>
          <w:rFonts w:ascii="Arial" w:hAnsi="Arial" w:cs="Arial"/>
          <w:sz w:val="24"/>
          <w:szCs w:val="24"/>
        </w:rPr>
        <w:t xml:space="preserve">terminology </w:t>
      </w:r>
      <w:r w:rsidR="007E749C" w:rsidRPr="00B1350E">
        <w:rPr>
          <w:rFonts w:ascii="Arial" w:hAnsi="Arial" w:cs="Arial"/>
          <w:sz w:val="24"/>
          <w:szCs w:val="24"/>
        </w:rPr>
        <w:t>and concepts ha</w:t>
      </w:r>
      <w:r w:rsidR="00650BE8" w:rsidRPr="00B1350E">
        <w:rPr>
          <w:rFonts w:ascii="Arial" w:hAnsi="Arial" w:cs="Arial"/>
          <w:sz w:val="24"/>
          <w:szCs w:val="24"/>
        </w:rPr>
        <w:t>d</w:t>
      </w:r>
      <w:r w:rsidR="007E749C" w:rsidRPr="00B1350E">
        <w:rPr>
          <w:rFonts w:ascii="Arial" w:hAnsi="Arial" w:cs="Arial"/>
          <w:sz w:val="24"/>
          <w:szCs w:val="24"/>
        </w:rPr>
        <w:t xml:space="preserve"> changed</w:t>
      </w:r>
      <w:r w:rsidRPr="00B1350E">
        <w:rPr>
          <w:rFonts w:ascii="Arial" w:hAnsi="Arial" w:cs="Arial"/>
          <w:sz w:val="24"/>
          <w:szCs w:val="24"/>
        </w:rPr>
        <w:t xml:space="preserve">. </w:t>
      </w:r>
      <w:r w:rsidR="007E749C" w:rsidRPr="00B1350E">
        <w:rPr>
          <w:rFonts w:ascii="Arial" w:hAnsi="Arial" w:cs="Arial"/>
          <w:sz w:val="24"/>
          <w:szCs w:val="24"/>
        </w:rPr>
        <w:t xml:space="preserve"> </w:t>
      </w:r>
      <w:r w:rsidR="00921A46" w:rsidRPr="00B1350E">
        <w:rPr>
          <w:rFonts w:ascii="Arial" w:hAnsi="Arial" w:cs="Arial"/>
          <w:sz w:val="24"/>
          <w:szCs w:val="24"/>
        </w:rPr>
        <w:t>P</w:t>
      </w:r>
      <w:r w:rsidRPr="00B1350E">
        <w:rPr>
          <w:rFonts w:ascii="Arial" w:hAnsi="Arial" w:cs="Arial"/>
          <w:sz w:val="24"/>
          <w:szCs w:val="24"/>
        </w:rPr>
        <w:t xml:space="preserve">articipants </w:t>
      </w:r>
      <w:r w:rsidR="007E749C" w:rsidRPr="00B1350E">
        <w:rPr>
          <w:rFonts w:ascii="Arial" w:hAnsi="Arial" w:cs="Arial"/>
          <w:sz w:val="24"/>
          <w:szCs w:val="24"/>
        </w:rPr>
        <w:t xml:space="preserve">ceased to think about </w:t>
      </w:r>
      <w:r w:rsidRPr="00B1350E">
        <w:rPr>
          <w:rFonts w:ascii="Arial" w:hAnsi="Arial" w:cs="Arial"/>
          <w:sz w:val="24"/>
          <w:szCs w:val="24"/>
        </w:rPr>
        <w:t xml:space="preserve">change </w:t>
      </w:r>
      <w:r w:rsidR="007E749C" w:rsidRPr="00B1350E">
        <w:rPr>
          <w:rFonts w:ascii="Arial" w:hAnsi="Arial" w:cs="Arial"/>
          <w:sz w:val="24"/>
          <w:szCs w:val="24"/>
        </w:rPr>
        <w:t xml:space="preserve">as </w:t>
      </w:r>
      <w:r w:rsidR="000770D8" w:rsidRPr="00B1350E">
        <w:rPr>
          <w:rFonts w:ascii="Arial" w:hAnsi="Arial" w:cs="Arial"/>
          <w:sz w:val="24"/>
          <w:szCs w:val="24"/>
        </w:rPr>
        <w:t xml:space="preserve">a </w:t>
      </w:r>
      <w:r w:rsidRPr="00B1350E">
        <w:rPr>
          <w:rFonts w:ascii="Arial" w:hAnsi="Arial" w:cs="Arial"/>
          <w:sz w:val="24"/>
          <w:szCs w:val="24"/>
        </w:rPr>
        <w:t>simple linear flow</w:t>
      </w:r>
      <w:r w:rsidR="00921A46" w:rsidRPr="00B1350E">
        <w:rPr>
          <w:rFonts w:ascii="Arial" w:hAnsi="Arial" w:cs="Arial"/>
          <w:sz w:val="24"/>
          <w:szCs w:val="24"/>
        </w:rPr>
        <w:t>, connecting inputs, activities, outputs, outcomes</w:t>
      </w:r>
      <w:r w:rsidR="000770D8" w:rsidRPr="00B1350E">
        <w:rPr>
          <w:rFonts w:ascii="Arial" w:hAnsi="Arial" w:cs="Arial"/>
          <w:sz w:val="24"/>
          <w:szCs w:val="24"/>
        </w:rPr>
        <w:t>,</w:t>
      </w:r>
      <w:r w:rsidR="00921A46" w:rsidRPr="00B1350E">
        <w:rPr>
          <w:rFonts w:ascii="Arial" w:hAnsi="Arial" w:cs="Arial"/>
          <w:sz w:val="24"/>
          <w:szCs w:val="24"/>
        </w:rPr>
        <w:t xml:space="preserve"> and impacts</w:t>
      </w:r>
      <w:r w:rsidR="006759E4" w:rsidRPr="00B1350E">
        <w:rPr>
          <w:rFonts w:ascii="Arial" w:hAnsi="Arial" w:cs="Arial"/>
          <w:sz w:val="24"/>
          <w:szCs w:val="24"/>
        </w:rPr>
        <w:t>.</w:t>
      </w:r>
      <w:r w:rsidR="007E749C" w:rsidRPr="00B1350E">
        <w:rPr>
          <w:rFonts w:ascii="Arial" w:hAnsi="Arial" w:cs="Arial"/>
          <w:sz w:val="24"/>
          <w:szCs w:val="24"/>
        </w:rPr>
        <w:t xml:space="preserve"> </w:t>
      </w:r>
      <w:r w:rsidRPr="00B1350E">
        <w:rPr>
          <w:rFonts w:ascii="Arial" w:hAnsi="Arial" w:cs="Arial"/>
          <w:sz w:val="24"/>
          <w:szCs w:val="24"/>
        </w:rPr>
        <w:t xml:space="preserve"> Instead, </w:t>
      </w:r>
      <w:r w:rsidR="007E749C" w:rsidRPr="00B1350E">
        <w:rPr>
          <w:rFonts w:ascii="Arial" w:hAnsi="Arial" w:cs="Arial"/>
          <w:sz w:val="24"/>
          <w:szCs w:val="24"/>
        </w:rPr>
        <w:t xml:space="preserve">they </w:t>
      </w:r>
      <w:r w:rsidR="00921A46" w:rsidRPr="00B1350E">
        <w:rPr>
          <w:rFonts w:ascii="Arial" w:hAnsi="Arial" w:cs="Arial"/>
          <w:sz w:val="24"/>
          <w:szCs w:val="24"/>
        </w:rPr>
        <w:t>began with</w:t>
      </w:r>
      <w:r w:rsidRPr="00B1350E">
        <w:rPr>
          <w:rFonts w:ascii="Arial" w:hAnsi="Arial" w:cs="Arial"/>
          <w:sz w:val="24"/>
          <w:szCs w:val="24"/>
        </w:rPr>
        <w:t xml:space="preserve"> </w:t>
      </w:r>
      <w:r w:rsidR="00921A46" w:rsidRPr="00B1350E">
        <w:rPr>
          <w:rFonts w:ascii="Arial" w:hAnsi="Arial" w:cs="Arial"/>
          <w:sz w:val="24"/>
          <w:szCs w:val="24"/>
        </w:rPr>
        <w:t xml:space="preserve">a </w:t>
      </w:r>
      <w:r w:rsidRPr="00B1350E">
        <w:rPr>
          <w:rFonts w:ascii="Arial" w:hAnsi="Arial" w:cs="Arial"/>
          <w:sz w:val="24"/>
          <w:szCs w:val="24"/>
        </w:rPr>
        <w:t>strateg</w:t>
      </w:r>
      <w:r w:rsidR="00921A46" w:rsidRPr="00B1350E">
        <w:rPr>
          <w:rFonts w:ascii="Arial" w:hAnsi="Arial" w:cs="Arial"/>
          <w:sz w:val="24"/>
          <w:szCs w:val="24"/>
        </w:rPr>
        <w:t xml:space="preserve">y (and its associated sub-set of </w:t>
      </w:r>
      <w:r w:rsidR="00063B11">
        <w:rPr>
          <w:rFonts w:ascii="Arial" w:hAnsi="Arial" w:cs="Arial"/>
          <w:sz w:val="24"/>
          <w:szCs w:val="24"/>
        </w:rPr>
        <w:t xml:space="preserve">supporting </w:t>
      </w:r>
      <w:r w:rsidR="00921A46" w:rsidRPr="00B1350E">
        <w:rPr>
          <w:rFonts w:ascii="Arial" w:hAnsi="Arial" w:cs="Arial"/>
          <w:sz w:val="24"/>
          <w:szCs w:val="24"/>
        </w:rPr>
        <w:t>activities)</w:t>
      </w:r>
      <w:r w:rsidR="007E749C" w:rsidRPr="00B1350E">
        <w:rPr>
          <w:rFonts w:ascii="Arial" w:hAnsi="Arial" w:cs="Arial"/>
          <w:sz w:val="24"/>
          <w:szCs w:val="24"/>
        </w:rPr>
        <w:t>,</w:t>
      </w:r>
      <w:r w:rsidR="006759E4" w:rsidRPr="00B1350E">
        <w:rPr>
          <w:rFonts w:ascii="Arial" w:hAnsi="Arial" w:cs="Arial"/>
          <w:sz w:val="24"/>
          <w:szCs w:val="24"/>
        </w:rPr>
        <w:t xml:space="preserve"> and</w:t>
      </w:r>
      <w:r w:rsidR="00921A46" w:rsidRPr="00B1350E">
        <w:rPr>
          <w:rFonts w:ascii="Arial" w:hAnsi="Arial" w:cs="Arial"/>
          <w:sz w:val="24"/>
          <w:szCs w:val="24"/>
        </w:rPr>
        <w:t xml:space="preserve"> </w:t>
      </w:r>
      <w:r w:rsidRPr="00B1350E">
        <w:rPr>
          <w:rFonts w:ascii="Arial" w:hAnsi="Arial" w:cs="Arial"/>
          <w:sz w:val="24"/>
          <w:szCs w:val="24"/>
        </w:rPr>
        <w:t>pr</w:t>
      </w:r>
      <w:r w:rsidR="00776742" w:rsidRPr="00B1350E">
        <w:rPr>
          <w:rFonts w:ascii="Arial" w:hAnsi="Arial" w:cs="Arial"/>
          <w:sz w:val="24"/>
          <w:szCs w:val="24"/>
        </w:rPr>
        <w:t>o</w:t>
      </w:r>
      <w:r w:rsidRPr="00B1350E">
        <w:rPr>
          <w:rFonts w:ascii="Arial" w:hAnsi="Arial" w:cs="Arial"/>
          <w:sz w:val="24"/>
          <w:szCs w:val="24"/>
        </w:rPr>
        <w:t>c</w:t>
      </w:r>
      <w:r w:rsidR="00776742" w:rsidRPr="00B1350E">
        <w:rPr>
          <w:rFonts w:ascii="Arial" w:hAnsi="Arial" w:cs="Arial"/>
          <w:sz w:val="24"/>
          <w:szCs w:val="24"/>
        </w:rPr>
        <w:t>e</w:t>
      </w:r>
      <w:r w:rsidRPr="00B1350E">
        <w:rPr>
          <w:rFonts w:ascii="Arial" w:hAnsi="Arial" w:cs="Arial"/>
          <w:sz w:val="24"/>
          <w:szCs w:val="24"/>
        </w:rPr>
        <w:t xml:space="preserve">eded </w:t>
      </w:r>
      <w:r w:rsidR="00D76E8C" w:rsidRPr="00B1350E">
        <w:rPr>
          <w:rFonts w:ascii="Arial" w:hAnsi="Arial" w:cs="Arial"/>
          <w:sz w:val="24"/>
          <w:szCs w:val="24"/>
        </w:rPr>
        <w:t xml:space="preserve">to </w:t>
      </w:r>
      <w:r w:rsidR="007E749C" w:rsidRPr="00B1350E">
        <w:rPr>
          <w:rFonts w:ascii="Arial" w:hAnsi="Arial" w:cs="Arial"/>
          <w:sz w:val="24"/>
          <w:szCs w:val="24"/>
        </w:rPr>
        <w:t xml:space="preserve">consider </w:t>
      </w:r>
      <w:r w:rsidR="00D76E8C" w:rsidRPr="00B1350E">
        <w:rPr>
          <w:rFonts w:ascii="Arial" w:hAnsi="Arial" w:cs="Arial"/>
          <w:sz w:val="24"/>
          <w:szCs w:val="24"/>
        </w:rPr>
        <w:t xml:space="preserve">how </w:t>
      </w:r>
      <w:r w:rsidR="00063B11">
        <w:rPr>
          <w:rFonts w:ascii="Arial" w:hAnsi="Arial" w:cs="Arial"/>
          <w:sz w:val="24"/>
          <w:szCs w:val="24"/>
        </w:rPr>
        <w:t>the</w:t>
      </w:r>
      <w:r w:rsidRPr="00B1350E">
        <w:rPr>
          <w:rFonts w:ascii="Arial" w:hAnsi="Arial" w:cs="Arial"/>
          <w:sz w:val="24"/>
          <w:szCs w:val="24"/>
        </w:rPr>
        <w:t xml:space="preserve"> strategy </w:t>
      </w:r>
      <w:r w:rsidR="00D76E8C" w:rsidRPr="00B1350E">
        <w:rPr>
          <w:rFonts w:ascii="Arial" w:hAnsi="Arial" w:cs="Arial"/>
          <w:sz w:val="24"/>
          <w:szCs w:val="24"/>
        </w:rPr>
        <w:t xml:space="preserve">could lead to </w:t>
      </w:r>
      <w:r w:rsidRPr="00B1350E">
        <w:rPr>
          <w:rFonts w:ascii="Arial" w:hAnsi="Arial" w:cs="Arial"/>
          <w:sz w:val="24"/>
          <w:szCs w:val="24"/>
        </w:rPr>
        <w:t>a</w:t>
      </w:r>
      <w:r w:rsidR="007E749C" w:rsidRPr="00B1350E">
        <w:rPr>
          <w:rFonts w:ascii="Arial" w:hAnsi="Arial" w:cs="Arial"/>
          <w:sz w:val="24"/>
          <w:szCs w:val="24"/>
        </w:rPr>
        <w:t xml:space="preserve"> </w:t>
      </w:r>
      <w:r w:rsidR="007E749C" w:rsidRPr="00DA3B6E">
        <w:rPr>
          <w:rFonts w:ascii="Arial" w:hAnsi="Arial" w:cs="Arial"/>
          <w:sz w:val="24"/>
          <w:szCs w:val="24"/>
        </w:rPr>
        <w:t>subsequent related</w:t>
      </w:r>
      <w:r w:rsidR="00063B11" w:rsidRPr="00DA3B6E">
        <w:rPr>
          <w:rFonts w:ascii="Arial" w:hAnsi="Arial" w:cs="Arial"/>
          <w:sz w:val="24"/>
          <w:szCs w:val="24"/>
        </w:rPr>
        <w:t>, desired</w:t>
      </w:r>
      <w:r w:rsidR="007E749C" w:rsidRPr="00B1350E">
        <w:rPr>
          <w:rFonts w:ascii="Arial" w:hAnsi="Arial" w:cs="Arial"/>
          <w:sz w:val="24"/>
          <w:szCs w:val="24"/>
        </w:rPr>
        <w:t xml:space="preserve"> </w:t>
      </w:r>
      <w:r w:rsidRPr="00B1350E">
        <w:rPr>
          <w:rFonts w:ascii="Arial" w:hAnsi="Arial" w:cs="Arial"/>
          <w:sz w:val="24"/>
          <w:szCs w:val="24"/>
        </w:rPr>
        <w:t xml:space="preserve">result.  </w:t>
      </w:r>
      <w:r w:rsidR="00D76E8C" w:rsidRPr="00B1350E">
        <w:rPr>
          <w:rFonts w:ascii="Arial" w:hAnsi="Arial" w:cs="Arial"/>
          <w:sz w:val="24"/>
          <w:szCs w:val="24"/>
        </w:rPr>
        <w:t>A result could lead to a</w:t>
      </w:r>
      <w:r w:rsidR="00D61688">
        <w:rPr>
          <w:rFonts w:ascii="Arial" w:hAnsi="Arial" w:cs="Arial"/>
          <w:sz w:val="24"/>
          <w:szCs w:val="24"/>
        </w:rPr>
        <w:t>nother</w:t>
      </w:r>
      <w:r w:rsidR="00D76E8C" w:rsidRPr="00B1350E">
        <w:rPr>
          <w:rFonts w:ascii="Arial" w:hAnsi="Arial" w:cs="Arial"/>
          <w:sz w:val="24"/>
          <w:szCs w:val="24"/>
        </w:rPr>
        <w:t xml:space="preserve"> result</w:t>
      </w:r>
      <w:r w:rsidR="007E749C" w:rsidRPr="00B1350E">
        <w:rPr>
          <w:rFonts w:ascii="Arial" w:hAnsi="Arial" w:cs="Arial"/>
          <w:sz w:val="24"/>
          <w:szCs w:val="24"/>
        </w:rPr>
        <w:t xml:space="preserve"> or to </w:t>
      </w:r>
      <w:r w:rsidR="00D76E8C" w:rsidRPr="00B1350E">
        <w:rPr>
          <w:rFonts w:ascii="Arial" w:hAnsi="Arial" w:cs="Arial"/>
          <w:sz w:val="24"/>
          <w:szCs w:val="24"/>
        </w:rPr>
        <w:t xml:space="preserve">initiation of </w:t>
      </w:r>
      <w:r w:rsidR="00885A41" w:rsidRPr="00B1350E">
        <w:rPr>
          <w:rFonts w:ascii="Arial" w:hAnsi="Arial" w:cs="Arial"/>
          <w:sz w:val="24"/>
          <w:szCs w:val="24"/>
        </w:rPr>
        <w:t xml:space="preserve">an </w:t>
      </w:r>
      <w:r w:rsidR="007E749C" w:rsidRPr="00B1350E">
        <w:rPr>
          <w:rFonts w:ascii="Arial" w:hAnsi="Arial" w:cs="Arial"/>
          <w:sz w:val="24"/>
          <w:szCs w:val="24"/>
        </w:rPr>
        <w:t xml:space="preserve">additional </w:t>
      </w:r>
      <w:r w:rsidR="00D76E8C" w:rsidRPr="00B1350E">
        <w:rPr>
          <w:rFonts w:ascii="Arial" w:hAnsi="Arial" w:cs="Arial"/>
          <w:sz w:val="24"/>
          <w:szCs w:val="24"/>
        </w:rPr>
        <w:t>strategy</w:t>
      </w:r>
      <w:r w:rsidR="00063B11">
        <w:rPr>
          <w:rFonts w:ascii="Arial" w:hAnsi="Arial" w:cs="Arial"/>
          <w:sz w:val="24"/>
          <w:szCs w:val="24"/>
        </w:rPr>
        <w:t>,</w:t>
      </w:r>
      <w:r w:rsidR="00D76E8C" w:rsidRPr="00B1350E">
        <w:rPr>
          <w:rFonts w:ascii="Arial" w:hAnsi="Arial" w:cs="Arial"/>
          <w:sz w:val="24"/>
          <w:szCs w:val="24"/>
        </w:rPr>
        <w:t xml:space="preserve"> or both.  </w:t>
      </w:r>
      <w:r w:rsidR="007E749C" w:rsidRPr="00B1350E">
        <w:rPr>
          <w:rFonts w:ascii="Arial" w:hAnsi="Arial" w:cs="Arial"/>
          <w:sz w:val="24"/>
          <w:szCs w:val="24"/>
        </w:rPr>
        <w:t xml:space="preserve">No limit was imposed on the </w:t>
      </w:r>
      <w:r w:rsidR="00D76E8C" w:rsidRPr="00B1350E">
        <w:rPr>
          <w:rFonts w:ascii="Arial" w:hAnsi="Arial" w:cs="Arial"/>
          <w:sz w:val="24"/>
          <w:szCs w:val="24"/>
        </w:rPr>
        <w:t xml:space="preserve">number of </w:t>
      </w:r>
      <w:r w:rsidR="00776742" w:rsidRPr="00B1350E">
        <w:rPr>
          <w:rFonts w:ascii="Arial" w:hAnsi="Arial" w:cs="Arial"/>
          <w:sz w:val="24"/>
          <w:szCs w:val="24"/>
        </w:rPr>
        <w:t>strategies/</w:t>
      </w:r>
      <w:r w:rsidRPr="00B1350E">
        <w:rPr>
          <w:rFonts w:ascii="Arial" w:hAnsi="Arial" w:cs="Arial"/>
          <w:sz w:val="24"/>
          <w:szCs w:val="24"/>
        </w:rPr>
        <w:t xml:space="preserve">results </w:t>
      </w:r>
      <w:r w:rsidR="00D76E8C" w:rsidRPr="00B1350E">
        <w:rPr>
          <w:rFonts w:ascii="Arial" w:hAnsi="Arial" w:cs="Arial"/>
          <w:sz w:val="24"/>
          <w:szCs w:val="24"/>
        </w:rPr>
        <w:t xml:space="preserve">that could </w:t>
      </w:r>
      <w:r w:rsidR="006759E4" w:rsidRPr="00B1350E">
        <w:rPr>
          <w:rFonts w:ascii="Arial" w:hAnsi="Arial" w:cs="Arial"/>
          <w:sz w:val="24"/>
          <w:szCs w:val="24"/>
        </w:rPr>
        <w:t>proceed a</w:t>
      </w:r>
      <w:r w:rsidR="007E749C" w:rsidRPr="00B1350E">
        <w:rPr>
          <w:rFonts w:ascii="Arial" w:hAnsi="Arial" w:cs="Arial"/>
          <w:sz w:val="24"/>
          <w:szCs w:val="24"/>
        </w:rPr>
        <w:t xml:space="preserve"> concluding</w:t>
      </w:r>
      <w:r w:rsidR="00D76E8C" w:rsidRPr="00B1350E">
        <w:rPr>
          <w:rFonts w:ascii="Arial" w:hAnsi="Arial" w:cs="Arial"/>
          <w:sz w:val="24"/>
          <w:szCs w:val="24"/>
        </w:rPr>
        <w:t xml:space="preserve"> result.</w:t>
      </w:r>
      <w:r w:rsidRPr="00B1350E">
        <w:rPr>
          <w:rFonts w:ascii="Arial" w:hAnsi="Arial" w:cs="Arial"/>
          <w:sz w:val="24"/>
          <w:szCs w:val="24"/>
        </w:rPr>
        <w:t xml:space="preserve">  Similarly, there was no limit </w:t>
      </w:r>
      <w:r w:rsidR="007E749C" w:rsidRPr="00B1350E">
        <w:rPr>
          <w:rFonts w:ascii="Arial" w:hAnsi="Arial" w:cs="Arial"/>
          <w:sz w:val="24"/>
          <w:szCs w:val="24"/>
        </w:rPr>
        <w:t>on</w:t>
      </w:r>
      <w:r w:rsidRPr="00B1350E">
        <w:rPr>
          <w:rFonts w:ascii="Arial" w:hAnsi="Arial" w:cs="Arial"/>
          <w:sz w:val="24"/>
          <w:szCs w:val="24"/>
        </w:rPr>
        <w:t xml:space="preserve"> how many strategies/results </w:t>
      </w:r>
      <w:r w:rsidR="007E749C" w:rsidRPr="00B1350E">
        <w:rPr>
          <w:rFonts w:ascii="Arial" w:hAnsi="Arial" w:cs="Arial"/>
          <w:sz w:val="24"/>
          <w:szCs w:val="24"/>
        </w:rPr>
        <w:t xml:space="preserve">might be needed to reach </w:t>
      </w:r>
      <w:r w:rsidR="00D61688">
        <w:rPr>
          <w:rFonts w:ascii="Arial" w:hAnsi="Arial" w:cs="Arial"/>
          <w:sz w:val="24"/>
          <w:szCs w:val="24"/>
        </w:rPr>
        <w:t>the next sequential point</w:t>
      </w:r>
      <w:r w:rsidR="007E749C" w:rsidRPr="00B1350E">
        <w:rPr>
          <w:rFonts w:ascii="Arial" w:hAnsi="Arial" w:cs="Arial"/>
          <w:sz w:val="24"/>
          <w:szCs w:val="24"/>
        </w:rPr>
        <w:t xml:space="preserve">.  </w:t>
      </w:r>
      <w:r w:rsidR="00BD618A" w:rsidRPr="00B1350E">
        <w:rPr>
          <w:rFonts w:ascii="Arial" w:hAnsi="Arial" w:cs="Arial"/>
          <w:sz w:val="24"/>
          <w:szCs w:val="24"/>
        </w:rPr>
        <w:t xml:space="preserve">This </w:t>
      </w:r>
      <w:r w:rsidR="00776742" w:rsidRPr="00B1350E">
        <w:rPr>
          <w:rFonts w:ascii="Arial" w:hAnsi="Arial" w:cs="Arial"/>
          <w:sz w:val="24"/>
          <w:szCs w:val="24"/>
        </w:rPr>
        <w:t xml:space="preserve">logic </w:t>
      </w:r>
      <w:r w:rsidR="00D76E8C" w:rsidRPr="00B1350E">
        <w:rPr>
          <w:rFonts w:ascii="Arial" w:hAnsi="Arial" w:cs="Arial"/>
          <w:sz w:val="24"/>
          <w:szCs w:val="24"/>
        </w:rPr>
        <w:t xml:space="preserve">mapping accommodated </w:t>
      </w:r>
      <w:r w:rsidR="00BD618A" w:rsidRPr="00B1350E">
        <w:rPr>
          <w:rFonts w:ascii="Arial" w:hAnsi="Arial" w:cs="Arial"/>
          <w:sz w:val="24"/>
          <w:szCs w:val="24"/>
        </w:rPr>
        <w:t xml:space="preserve">many </w:t>
      </w:r>
      <w:r w:rsidR="00776742" w:rsidRPr="00B1350E">
        <w:rPr>
          <w:rFonts w:ascii="Arial" w:hAnsi="Arial" w:cs="Arial"/>
          <w:sz w:val="24"/>
          <w:szCs w:val="24"/>
        </w:rPr>
        <w:t>non-linear interactions</w:t>
      </w:r>
      <w:r w:rsidR="00BD618A" w:rsidRPr="00B1350E">
        <w:rPr>
          <w:rFonts w:ascii="Arial" w:hAnsi="Arial" w:cs="Arial"/>
          <w:sz w:val="24"/>
          <w:szCs w:val="24"/>
        </w:rPr>
        <w:t xml:space="preserve"> and </w:t>
      </w:r>
      <w:r w:rsidRPr="00B1350E">
        <w:rPr>
          <w:rFonts w:ascii="Arial" w:hAnsi="Arial" w:cs="Arial"/>
          <w:sz w:val="24"/>
          <w:szCs w:val="24"/>
        </w:rPr>
        <w:t>allowed for recursive changes</w:t>
      </w:r>
      <w:r w:rsidR="004A47D0" w:rsidRPr="00B1350E">
        <w:rPr>
          <w:rFonts w:ascii="Arial" w:hAnsi="Arial" w:cs="Arial"/>
          <w:sz w:val="24"/>
          <w:szCs w:val="24"/>
        </w:rPr>
        <w:t xml:space="preserve"> as well</w:t>
      </w:r>
      <w:r w:rsidRPr="00B1350E">
        <w:rPr>
          <w:rFonts w:ascii="Arial" w:hAnsi="Arial" w:cs="Arial"/>
          <w:sz w:val="24"/>
          <w:szCs w:val="24"/>
        </w:rPr>
        <w:t>.</w:t>
      </w:r>
    </w:p>
    <w:p w:rsidR="00921A46" w:rsidRPr="00B1350E" w:rsidRDefault="00063B11" w:rsidP="00921A46">
      <w:pPr>
        <w:pStyle w:val="Body1"/>
        <w:spacing w:before="120" w:after="120" w:line="360" w:lineRule="auto"/>
        <w:rPr>
          <w:rFonts w:ascii="Arial" w:hAnsi="Arial" w:cs="Arial"/>
          <w:sz w:val="24"/>
          <w:szCs w:val="24"/>
        </w:rPr>
      </w:pPr>
      <w:r>
        <w:rPr>
          <w:rFonts w:ascii="Arial" w:hAnsi="Arial" w:cs="Arial"/>
          <w:sz w:val="24"/>
          <w:szCs w:val="24"/>
        </w:rPr>
        <w:lastRenderedPageBreak/>
        <w:t>S</w:t>
      </w:r>
      <w:r w:rsidR="00476D08" w:rsidRPr="00B1350E">
        <w:rPr>
          <w:rFonts w:ascii="Arial" w:hAnsi="Arial" w:cs="Arial"/>
          <w:sz w:val="24"/>
          <w:szCs w:val="24"/>
        </w:rPr>
        <w:t xml:space="preserve">ocial network theory </w:t>
      </w:r>
      <w:r>
        <w:rPr>
          <w:rFonts w:ascii="Arial" w:hAnsi="Arial" w:cs="Arial"/>
          <w:sz w:val="24"/>
          <w:szCs w:val="24"/>
        </w:rPr>
        <w:t xml:space="preserve">also </w:t>
      </w:r>
      <w:r w:rsidR="00DA3B6E">
        <w:rPr>
          <w:rFonts w:ascii="Arial" w:hAnsi="Arial" w:cs="Arial"/>
          <w:sz w:val="24"/>
          <w:szCs w:val="24"/>
        </w:rPr>
        <w:t xml:space="preserve">was </w:t>
      </w:r>
      <w:r w:rsidR="00476D08" w:rsidRPr="00B1350E">
        <w:rPr>
          <w:rFonts w:ascii="Arial" w:hAnsi="Arial" w:cs="Arial"/>
          <w:sz w:val="24"/>
          <w:szCs w:val="24"/>
        </w:rPr>
        <w:t xml:space="preserve">introduced </w:t>
      </w:r>
      <w:r w:rsidR="0087771A" w:rsidRPr="00B1350E">
        <w:rPr>
          <w:rFonts w:ascii="Arial" w:hAnsi="Arial" w:cs="Arial"/>
          <w:sz w:val="24"/>
          <w:szCs w:val="24"/>
        </w:rPr>
        <w:t>to frame</w:t>
      </w:r>
      <w:r w:rsidR="00BD618A" w:rsidRPr="00B1350E">
        <w:rPr>
          <w:rFonts w:ascii="Arial" w:hAnsi="Arial" w:cs="Arial"/>
          <w:sz w:val="24"/>
          <w:szCs w:val="24"/>
        </w:rPr>
        <w:t xml:space="preserve"> and validate </w:t>
      </w:r>
      <w:r w:rsidR="0087771A" w:rsidRPr="00B1350E">
        <w:rPr>
          <w:rFonts w:ascii="Arial" w:hAnsi="Arial" w:cs="Arial"/>
          <w:sz w:val="24"/>
          <w:szCs w:val="24"/>
        </w:rPr>
        <w:t>emerging theories of change</w:t>
      </w:r>
      <w:r w:rsidR="00EB7CA9" w:rsidRPr="00B1350E">
        <w:rPr>
          <w:rFonts w:ascii="Arial" w:hAnsi="Arial" w:cs="Arial"/>
          <w:sz w:val="24"/>
          <w:szCs w:val="24"/>
        </w:rPr>
        <w:t xml:space="preserve"> in the results chains</w:t>
      </w:r>
      <w:r w:rsidR="00885A41" w:rsidRPr="00B1350E">
        <w:rPr>
          <w:rFonts w:ascii="Arial" w:hAnsi="Arial" w:cs="Arial"/>
          <w:sz w:val="24"/>
          <w:szCs w:val="24"/>
        </w:rPr>
        <w:t xml:space="preserve"> </w:t>
      </w:r>
      <w:r w:rsidR="00874A28" w:rsidRPr="00B1350E">
        <w:rPr>
          <w:rFonts w:ascii="Arial" w:hAnsi="Arial" w:cs="Arial"/>
          <w:sz w:val="24"/>
          <w:szCs w:val="24"/>
        </w:rPr>
        <w:t>(</w:t>
      </w:r>
      <w:r w:rsidR="0043129C" w:rsidRPr="00B1350E">
        <w:rPr>
          <w:rFonts w:ascii="Arial" w:hAnsi="Arial" w:cs="Arial"/>
          <w:sz w:val="24"/>
          <w:szCs w:val="24"/>
        </w:rPr>
        <w:t xml:space="preserve">for more on social network theory in evaluation, see, </w:t>
      </w:r>
      <w:r>
        <w:rPr>
          <w:rFonts w:ascii="Arial" w:hAnsi="Arial" w:cs="Arial"/>
          <w:sz w:val="24"/>
          <w:szCs w:val="24"/>
        </w:rPr>
        <w:t xml:space="preserve"> </w:t>
      </w:r>
      <w:r w:rsidR="0043129C" w:rsidRPr="00B1350E">
        <w:rPr>
          <w:rFonts w:ascii="Arial" w:hAnsi="Arial" w:cs="Arial"/>
          <w:sz w:val="24"/>
          <w:szCs w:val="24"/>
        </w:rPr>
        <w:t>Penual et al.</w:t>
      </w:r>
      <w:r>
        <w:rPr>
          <w:rFonts w:ascii="Arial" w:hAnsi="Arial" w:cs="Arial"/>
          <w:sz w:val="24"/>
          <w:szCs w:val="24"/>
        </w:rPr>
        <w:t>,</w:t>
      </w:r>
      <w:r w:rsidR="0043129C" w:rsidRPr="00B1350E">
        <w:rPr>
          <w:rFonts w:ascii="Arial" w:hAnsi="Arial" w:cs="Arial"/>
          <w:sz w:val="24"/>
          <w:szCs w:val="24"/>
        </w:rPr>
        <w:t xml:space="preserve"> 2006</w:t>
      </w:r>
      <w:r w:rsidR="00874A28" w:rsidRPr="00B1350E">
        <w:rPr>
          <w:rFonts w:ascii="Arial" w:hAnsi="Arial" w:cs="Arial"/>
          <w:sz w:val="24"/>
          <w:szCs w:val="24"/>
        </w:rPr>
        <w:t>)</w:t>
      </w:r>
      <w:r w:rsidR="00476D08" w:rsidRPr="00B1350E">
        <w:rPr>
          <w:rFonts w:ascii="Arial" w:hAnsi="Arial" w:cs="Arial"/>
          <w:sz w:val="24"/>
          <w:szCs w:val="24"/>
        </w:rPr>
        <w:t xml:space="preserve">.  </w:t>
      </w:r>
      <w:r w:rsidR="00921A46" w:rsidRPr="00B1350E">
        <w:rPr>
          <w:rFonts w:ascii="Arial" w:hAnsi="Arial" w:cs="Arial"/>
          <w:sz w:val="24"/>
          <w:szCs w:val="24"/>
        </w:rPr>
        <w:t xml:space="preserve">Four sets of actors </w:t>
      </w:r>
      <w:r w:rsidR="00B97C02" w:rsidRPr="00B1350E">
        <w:rPr>
          <w:rFonts w:ascii="Arial" w:hAnsi="Arial" w:cs="Arial"/>
          <w:sz w:val="24"/>
          <w:szCs w:val="24"/>
        </w:rPr>
        <w:t>were identified</w:t>
      </w:r>
      <w:r w:rsidR="00D61688">
        <w:rPr>
          <w:rFonts w:ascii="Arial" w:hAnsi="Arial" w:cs="Arial"/>
          <w:sz w:val="24"/>
          <w:szCs w:val="24"/>
        </w:rPr>
        <w:t>:</w:t>
      </w:r>
      <w:r w:rsidR="00921A46" w:rsidRPr="00B1350E">
        <w:rPr>
          <w:rFonts w:ascii="Arial" w:hAnsi="Arial" w:cs="Arial"/>
          <w:sz w:val="24"/>
          <w:szCs w:val="24"/>
        </w:rPr>
        <w:t xml:space="preserve"> </w:t>
      </w:r>
      <w:r>
        <w:rPr>
          <w:rFonts w:ascii="Arial" w:hAnsi="Arial" w:cs="Arial"/>
          <w:sz w:val="24"/>
          <w:szCs w:val="24"/>
        </w:rPr>
        <w:t xml:space="preserve"> (1)</w:t>
      </w:r>
      <w:r w:rsidR="00921A46" w:rsidRPr="00B1350E">
        <w:rPr>
          <w:rFonts w:ascii="Arial" w:hAnsi="Arial" w:cs="Arial"/>
          <w:sz w:val="24"/>
          <w:szCs w:val="24"/>
        </w:rPr>
        <w:t xml:space="preserve"> </w:t>
      </w:r>
      <w:r w:rsidR="00921A46" w:rsidRPr="00063B11">
        <w:rPr>
          <w:rFonts w:ascii="Arial" w:hAnsi="Arial" w:cs="Arial"/>
          <w:sz w:val="24"/>
          <w:szCs w:val="24"/>
        </w:rPr>
        <w:t>SLAA</w:t>
      </w:r>
      <w:r w:rsidR="00921A46" w:rsidRPr="00B1350E">
        <w:rPr>
          <w:rFonts w:ascii="Arial" w:hAnsi="Arial" w:cs="Arial"/>
          <w:i/>
          <w:sz w:val="24"/>
          <w:szCs w:val="24"/>
        </w:rPr>
        <w:t>s</w:t>
      </w:r>
      <w:r>
        <w:rPr>
          <w:rFonts w:ascii="Arial" w:hAnsi="Arial" w:cs="Arial"/>
          <w:sz w:val="24"/>
          <w:szCs w:val="24"/>
        </w:rPr>
        <w:t>;</w:t>
      </w:r>
      <w:r w:rsidR="00921A46" w:rsidRPr="00B1350E">
        <w:rPr>
          <w:rFonts w:ascii="Arial" w:hAnsi="Arial" w:cs="Arial"/>
          <w:sz w:val="24"/>
          <w:szCs w:val="24"/>
        </w:rPr>
        <w:t xml:space="preserve"> </w:t>
      </w:r>
      <w:r>
        <w:rPr>
          <w:rFonts w:ascii="Arial" w:hAnsi="Arial" w:cs="Arial"/>
          <w:sz w:val="24"/>
          <w:szCs w:val="24"/>
        </w:rPr>
        <w:t>(2) p</w:t>
      </w:r>
      <w:r w:rsidR="00921A46" w:rsidRPr="00063B11">
        <w:rPr>
          <w:rFonts w:ascii="Arial" w:hAnsi="Arial" w:cs="Arial"/>
          <w:sz w:val="24"/>
          <w:szCs w:val="24"/>
        </w:rPr>
        <w:t>ublic</w:t>
      </w:r>
      <w:r w:rsidR="00D61688">
        <w:rPr>
          <w:rFonts w:ascii="Arial" w:hAnsi="Arial" w:cs="Arial"/>
          <w:sz w:val="24"/>
          <w:szCs w:val="24"/>
        </w:rPr>
        <w:t xml:space="preserve"> libraries</w:t>
      </w:r>
      <w:r w:rsidR="00D61688">
        <w:rPr>
          <w:rStyle w:val="FootnoteReference"/>
          <w:rFonts w:ascii="Arial" w:hAnsi="Arial" w:cs="Arial"/>
          <w:sz w:val="24"/>
          <w:szCs w:val="24"/>
        </w:rPr>
        <w:footnoteReference w:id="7"/>
      </w:r>
      <w:r w:rsidR="001A4E5C">
        <w:rPr>
          <w:rFonts w:ascii="Arial" w:hAnsi="Arial" w:cs="Arial"/>
          <w:sz w:val="24"/>
          <w:szCs w:val="24"/>
        </w:rPr>
        <w:t xml:space="preserve">; (3) </w:t>
      </w:r>
      <w:r w:rsidR="001A4E5C" w:rsidRPr="001A4E5C">
        <w:rPr>
          <w:rFonts w:ascii="Arial" w:hAnsi="Arial" w:cs="Arial"/>
          <w:i/>
          <w:sz w:val="24"/>
          <w:szCs w:val="24"/>
        </w:rPr>
        <w:t>n</w:t>
      </w:r>
      <w:r w:rsidR="00921A46" w:rsidRPr="001A4E5C">
        <w:rPr>
          <w:rFonts w:ascii="Arial" w:hAnsi="Arial" w:cs="Arial"/>
          <w:i/>
          <w:sz w:val="24"/>
          <w:szCs w:val="24"/>
        </w:rPr>
        <w:t>on-library partners</w:t>
      </w:r>
      <w:r w:rsidR="001A4E5C">
        <w:rPr>
          <w:rFonts w:ascii="Arial" w:hAnsi="Arial" w:cs="Arial"/>
          <w:sz w:val="24"/>
          <w:szCs w:val="24"/>
        </w:rPr>
        <w:t xml:space="preserve">; </w:t>
      </w:r>
      <w:r w:rsidR="00DA3B6E">
        <w:rPr>
          <w:rFonts w:ascii="Arial" w:hAnsi="Arial" w:cs="Arial"/>
          <w:sz w:val="24"/>
          <w:szCs w:val="24"/>
        </w:rPr>
        <w:t xml:space="preserve">and </w:t>
      </w:r>
      <w:r w:rsidR="001A4E5C">
        <w:rPr>
          <w:rFonts w:ascii="Arial" w:hAnsi="Arial" w:cs="Arial"/>
          <w:sz w:val="24"/>
          <w:szCs w:val="24"/>
        </w:rPr>
        <w:t>f</w:t>
      </w:r>
      <w:r w:rsidR="00921A46" w:rsidRPr="00B1350E">
        <w:rPr>
          <w:rFonts w:ascii="Arial" w:hAnsi="Arial" w:cs="Arial"/>
          <w:sz w:val="24"/>
          <w:szCs w:val="24"/>
        </w:rPr>
        <w:t>inally,</w:t>
      </w:r>
      <w:r w:rsidR="001A4E5C">
        <w:rPr>
          <w:rFonts w:ascii="Arial" w:hAnsi="Arial" w:cs="Arial"/>
          <w:sz w:val="24"/>
          <w:szCs w:val="24"/>
        </w:rPr>
        <w:t xml:space="preserve"> (</w:t>
      </w:r>
      <w:r w:rsidR="00DA3B6E">
        <w:rPr>
          <w:rFonts w:ascii="Arial" w:hAnsi="Arial" w:cs="Arial"/>
          <w:sz w:val="24"/>
          <w:szCs w:val="24"/>
        </w:rPr>
        <w:t>4</w:t>
      </w:r>
      <w:r w:rsidR="001A4E5C">
        <w:rPr>
          <w:rFonts w:ascii="Arial" w:hAnsi="Arial" w:cs="Arial"/>
          <w:sz w:val="24"/>
          <w:szCs w:val="24"/>
        </w:rPr>
        <w:t>) users,</w:t>
      </w:r>
      <w:r w:rsidR="00921A46" w:rsidRPr="00B1350E">
        <w:rPr>
          <w:rFonts w:ascii="Arial" w:hAnsi="Arial" w:cs="Arial"/>
          <w:sz w:val="24"/>
          <w:szCs w:val="24"/>
        </w:rPr>
        <w:t xml:space="preserve"> comprising </w:t>
      </w:r>
      <w:r w:rsidR="00B97C02" w:rsidRPr="00B1350E">
        <w:rPr>
          <w:rFonts w:ascii="Arial" w:hAnsi="Arial" w:cs="Arial"/>
          <w:sz w:val="24"/>
          <w:szCs w:val="24"/>
        </w:rPr>
        <w:t xml:space="preserve">distinct </w:t>
      </w:r>
      <w:r w:rsidR="00921A46" w:rsidRPr="00B1350E">
        <w:rPr>
          <w:rFonts w:ascii="Arial" w:hAnsi="Arial" w:cs="Arial"/>
          <w:sz w:val="24"/>
          <w:szCs w:val="24"/>
        </w:rPr>
        <w:t xml:space="preserve">segments </w:t>
      </w:r>
      <w:r w:rsidR="00EB7CA9" w:rsidRPr="00B1350E">
        <w:rPr>
          <w:rFonts w:ascii="Arial" w:hAnsi="Arial" w:cs="Arial"/>
          <w:sz w:val="24"/>
          <w:szCs w:val="24"/>
        </w:rPr>
        <w:t>from</w:t>
      </w:r>
      <w:r w:rsidR="00921A46" w:rsidRPr="00B1350E">
        <w:rPr>
          <w:rFonts w:ascii="Arial" w:hAnsi="Arial" w:cs="Arial"/>
          <w:sz w:val="24"/>
          <w:szCs w:val="24"/>
        </w:rPr>
        <w:t xml:space="preserve"> the </w:t>
      </w:r>
      <w:r w:rsidR="00EB7CA9" w:rsidRPr="00B1350E">
        <w:rPr>
          <w:rFonts w:ascii="Arial" w:hAnsi="Arial" w:cs="Arial"/>
          <w:sz w:val="24"/>
          <w:szCs w:val="24"/>
        </w:rPr>
        <w:t xml:space="preserve">broad </w:t>
      </w:r>
      <w:r w:rsidR="00921A46" w:rsidRPr="00B1350E">
        <w:rPr>
          <w:rFonts w:ascii="Arial" w:hAnsi="Arial" w:cs="Arial"/>
          <w:sz w:val="24"/>
          <w:szCs w:val="24"/>
        </w:rPr>
        <w:t xml:space="preserve">public. </w:t>
      </w:r>
      <w:r w:rsidR="001A4E5C">
        <w:rPr>
          <w:rFonts w:ascii="Arial" w:hAnsi="Arial" w:cs="Arial"/>
          <w:sz w:val="24"/>
          <w:szCs w:val="24"/>
        </w:rPr>
        <w:t xml:space="preserve"> </w:t>
      </w:r>
      <w:r w:rsidR="00921A46" w:rsidRPr="00DA3B6E">
        <w:rPr>
          <w:rFonts w:ascii="Arial" w:hAnsi="Arial" w:cs="Arial"/>
          <w:sz w:val="24"/>
          <w:szCs w:val="24"/>
        </w:rPr>
        <w:t xml:space="preserve">Figure </w:t>
      </w:r>
      <w:r w:rsidR="001A4E5C" w:rsidRPr="00DA3B6E">
        <w:rPr>
          <w:rFonts w:ascii="Arial" w:hAnsi="Arial" w:cs="Arial"/>
          <w:sz w:val="24"/>
          <w:szCs w:val="24"/>
        </w:rPr>
        <w:t>1.4</w:t>
      </w:r>
      <w:r w:rsidR="00921A46" w:rsidRPr="00B1350E">
        <w:rPr>
          <w:rFonts w:ascii="Arial" w:hAnsi="Arial" w:cs="Arial"/>
          <w:sz w:val="24"/>
          <w:szCs w:val="24"/>
        </w:rPr>
        <w:t xml:space="preserve"> summarize</w:t>
      </w:r>
      <w:r w:rsidR="00EB7CA9" w:rsidRPr="00B1350E">
        <w:rPr>
          <w:rFonts w:ascii="Arial" w:hAnsi="Arial" w:cs="Arial"/>
          <w:sz w:val="24"/>
          <w:szCs w:val="24"/>
        </w:rPr>
        <w:t xml:space="preserve">s the underlying social network revealed across </w:t>
      </w:r>
      <w:r w:rsidR="00921A46" w:rsidRPr="00B1350E">
        <w:rPr>
          <w:rFonts w:ascii="Arial" w:hAnsi="Arial" w:cs="Arial"/>
          <w:sz w:val="24"/>
          <w:szCs w:val="24"/>
        </w:rPr>
        <w:t>all of the results chains.</w:t>
      </w:r>
    </w:p>
    <w:p w:rsidR="00BD618A" w:rsidRPr="00B1350E" w:rsidRDefault="00BD618A" w:rsidP="008D59F8">
      <w:pPr>
        <w:pStyle w:val="Body1"/>
        <w:spacing w:before="120" w:after="120" w:line="360" w:lineRule="auto"/>
        <w:rPr>
          <w:rFonts w:ascii="Arial" w:hAnsi="Arial" w:cs="Arial"/>
          <w:sz w:val="24"/>
          <w:szCs w:val="24"/>
        </w:rPr>
      </w:pPr>
    </w:p>
    <w:p w:rsidR="00476D08" w:rsidRPr="001A4E5C" w:rsidRDefault="001A4E5C" w:rsidP="008D59F8">
      <w:pPr>
        <w:pStyle w:val="Body1"/>
        <w:spacing w:before="120" w:after="120" w:line="360" w:lineRule="auto"/>
        <w:rPr>
          <w:rFonts w:ascii="Arial" w:hAnsi="Arial" w:cs="Arial"/>
          <w:b/>
          <w:sz w:val="24"/>
          <w:szCs w:val="24"/>
          <w:u w:val="single"/>
        </w:rPr>
      </w:pPr>
      <w:r w:rsidRPr="001A4E5C">
        <w:rPr>
          <w:rFonts w:ascii="Arial" w:hAnsi="Arial" w:cs="Arial"/>
          <w:b/>
          <w:sz w:val="24"/>
          <w:szCs w:val="24"/>
          <w:u w:val="single"/>
        </w:rPr>
        <w:t>Insert figure 1.4</w:t>
      </w:r>
      <w:r w:rsidR="00885A41" w:rsidRPr="001A4E5C">
        <w:rPr>
          <w:rFonts w:ascii="Arial" w:hAnsi="Arial" w:cs="Arial"/>
          <w:b/>
          <w:sz w:val="24"/>
          <w:szCs w:val="24"/>
          <w:u w:val="single"/>
        </w:rPr>
        <w:t>.</w:t>
      </w:r>
    </w:p>
    <w:p w:rsidR="005A2419" w:rsidRPr="00B1350E" w:rsidRDefault="005A2419" w:rsidP="008D59F8">
      <w:pPr>
        <w:pStyle w:val="Body1"/>
        <w:spacing w:before="120" w:after="120" w:line="360" w:lineRule="auto"/>
        <w:rPr>
          <w:rFonts w:ascii="Arial" w:hAnsi="Arial" w:cs="Arial"/>
          <w:sz w:val="24"/>
          <w:szCs w:val="24"/>
        </w:rPr>
      </w:pPr>
    </w:p>
    <w:p w:rsidR="0043129C" w:rsidRPr="00B1350E" w:rsidRDefault="00885A41" w:rsidP="00921A46">
      <w:pPr>
        <w:pStyle w:val="Body1"/>
        <w:spacing w:before="120" w:after="120" w:line="360" w:lineRule="auto"/>
        <w:rPr>
          <w:rStyle w:val="FootnoteReference"/>
          <w:rFonts w:ascii="Arial" w:hAnsi="Arial" w:cs="Arial"/>
          <w:sz w:val="24"/>
          <w:szCs w:val="24"/>
        </w:rPr>
      </w:pPr>
      <w:r w:rsidRPr="00B1350E">
        <w:rPr>
          <w:rFonts w:ascii="Arial" w:hAnsi="Arial" w:cs="Arial"/>
          <w:sz w:val="24"/>
          <w:szCs w:val="24"/>
        </w:rPr>
        <w:t xml:space="preserve">As seen in Figure </w:t>
      </w:r>
      <w:r w:rsidR="001A4E5C">
        <w:rPr>
          <w:rFonts w:ascii="Arial" w:hAnsi="Arial" w:cs="Arial"/>
          <w:sz w:val="24"/>
          <w:szCs w:val="24"/>
        </w:rPr>
        <w:t>1.</w:t>
      </w:r>
      <w:r w:rsidRPr="00B1350E">
        <w:rPr>
          <w:rFonts w:ascii="Arial" w:hAnsi="Arial" w:cs="Arial"/>
          <w:sz w:val="24"/>
          <w:szCs w:val="24"/>
        </w:rPr>
        <w:t xml:space="preserve">4, </w:t>
      </w:r>
      <w:r w:rsidR="00D61688">
        <w:rPr>
          <w:rFonts w:ascii="Arial" w:hAnsi="Arial" w:cs="Arial"/>
          <w:sz w:val="24"/>
          <w:szCs w:val="24"/>
        </w:rPr>
        <w:t xml:space="preserve">the </w:t>
      </w:r>
      <w:r w:rsidRPr="00B1350E">
        <w:rPr>
          <w:rFonts w:ascii="Arial" w:hAnsi="Arial" w:cs="Arial"/>
          <w:sz w:val="24"/>
          <w:szCs w:val="24"/>
        </w:rPr>
        <w:t xml:space="preserve">four sets </w:t>
      </w:r>
      <w:r w:rsidR="006759E4" w:rsidRPr="00B1350E">
        <w:rPr>
          <w:rFonts w:ascii="Arial" w:hAnsi="Arial" w:cs="Arial"/>
          <w:sz w:val="24"/>
          <w:szCs w:val="24"/>
        </w:rPr>
        <w:t>of</w:t>
      </w:r>
      <w:r w:rsidRPr="00B1350E">
        <w:rPr>
          <w:rFonts w:ascii="Arial" w:hAnsi="Arial" w:cs="Arial"/>
          <w:sz w:val="24"/>
          <w:szCs w:val="24"/>
        </w:rPr>
        <w:t xml:space="preserve"> actors are closely interwoven.  First, the SLAAs conduct needs assessments, develop long-term statewide </w:t>
      </w:r>
      <w:r w:rsidR="006759E4" w:rsidRPr="00B1350E">
        <w:rPr>
          <w:rFonts w:ascii="Arial" w:hAnsi="Arial" w:cs="Arial"/>
          <w:sz w:val="24"/>
          <w:szCs w:val="24"/>
        </w:rPr>
        <w:t>plans</w:t>
      </w:r>
      <w:r w:rsidRPr="00B1350E">
        <w:rPr>
          <w:rFonts w:ascii="Arial" w:hAnsi="Arial" w:cs="Arial"/>
          <w:sz w:val="24"/>
          <w:szCs w:val="24"/>
        </w:rPr>
        <w:t xml:space="preserve">, and extend available types of support to catalyze efforts among public libraries.  Second, </w:t>
      </w:r>
      <w:r w:rsidR="00D61688">
        <w:rPr>
          <w:rFonts w:ascii="Arial" w:hAnsi="Arial" w:cs="Arial"/>
          <w:sz w:val="24"/>
          <w:szCs w:val="24"/>
        </w:rPr>
        <w:t xml:space="preserve">public </w:t>
      </w:r>
      <w:r w:rsidRPr="00B1350E">
        <w:rPr>
          <w:rFonts w:ascii="Arial" w:hAnsi="Arial" w:cs="Arial"/>
          <w:sz w:val="24"/>
          <w:szCs w:val="24"/>
        </w:rPr>
        <w:t>libraries customize the planning to the circumstances of their communities</w:t>
      </w:r>
      <w:r w:rsidR="001A4E5C">
        <w:rPr>
          <w:rFonts w:ascii="Arial" w:hAnsi="Arial" w:cs="Arial"/>
          <w:sz w:val="24"/>
          <w:szCs w:val="24"/>
        </w:rPr>
        <w:t xml:space="preserve">, </w:t>
      </w:r>
      <w:r w:rsidRPr="00B1350E">
        <w:rPr>
          <w:rFonts w:ascii="Arial" w:hAnsi="Arial" w:cs="Arial"/>
          <w:sz w:val="24"/>
          <w:szCs w:val="24"/>
        </w:rPr>
        <w:t xml:space="preserve">which subsequently leads to delivering </w:t>
      </w:r>
      <w:r w:rsidR="001A4E5C">
        <w:rPr>
          <w:rFonts w:ascii="Arial" w:hAnsi="Arial" w:cs="Arial"/>
          <w:sz w:val="24"/>
          <w:szCs w:val="24"/>
        </w:rPr>
        <w:t>pertinent</w:t>
      </w:r>
      <w:r w:rsidRPr="00B1350E">
        <w:rPr>
          <w:rFonts w:ascii="Arial" w:hAnsi="Arial" w:cs="Arial"/>
          <w:sz w:val="24"/>
          <w:szCs w:val="24"/>
        </w:rPr>
        <w:t xml:space="preserve"> services and activities to various segments of the </w:t>
      </w:r>
      <w:r w:rsidR="00D61688">
        <w:rPr>
          <w:rFonts w:ascii="Arial" w:hAnsi="Arial" w:cs="Arial"/>
          <w:sz w:val="24"/>
          <w:szCs w:val="24"/>
        </w:rPr>
        <w:t xml:space="preserve">local </w:t>
      </w:r>
      <w:r w:rsidRPr="00B1350E">
        <w:rPr>
          <w:rFonts w:ascii="Arial" w:hAnsi="Arial" w:cs="Arial"/>
          <w:sz w:val="24"/>
          <w:szCs w:val="24"/>
        </w:rPr>
        <w:t xml:space="preserve">public.  Third, outside partners bring expertise, capital and connections </w:t>
      </w:r>
      <w:r w:rsidR="001A4E5C">
        <w:rPr>
          <w:rFonts w:ascii="Arial" w:hAnsi="Arial" w:cs="Arial"/>
          <w:sz w:val="24"/>
          <w:szCs w:val="24"/>
        </w:rPr>
        <w:t>to assist SLAA</w:t>
      </w:r>
      <w:r w:rsidRPr="00B1350E">
        <w:rPr>
          <w:rFonts w:ascii="Arial" w:hAnsi="Arial" w:cs="Arial"/>
          <w:sz w:val="24"/>
          <w:szCs w:val="24"/>
        </w:rPr>
        <w:t xml:space="preserve"> efforts at a state level as well as public libraries in the</w:t>
      </w:r>
      <w:r w:rsidR="001A4E5C">
        <w:rPr>
          <w:rFonts w:ascii="Arial" w:hAnsi="Arial" w:cs="Arial"/>
          <w:sz w:val="24"/>
          <w:szCs w:val="24"/>
        </w:rPr>
        <w:t>ir</w:t>
      </w:r>
      <w:r w:rsidRPr="00B1350E">
        <w:rPr>
          <w:rFonts w:ascii="Arial" w:hAnsi="Arial" w:cs="Arial"/>
          <w:sz w:val="24"/>
          <w:szCs w:val="24"/>
        </w:rPr>
        <w:t xml:space="preserve"> local communities.  Fourth, users (i.e., segments of the public) access and participate in the library services and activities.  As </w:t>
      </w:r>
      <w:r w:rsidR="001A4E5C">
        <w:rPr>
          <w:rFonts w:ascii="Arial" w:hAnsi="Arial" w:cs="Arial"/>
          <w:sz w:val="24"/>
          <w:szCs w:val="24"/>
        </w:rPr>
        <w:t xml:space="preserve">teams </w:t>
      </w:r>
      <w:r w:rsidRPr="00B1350E">
        <w:rPr>
          <w:rFonts w:ascii="Arial" w:hAnsi="Arial" w:cs="Arial"/>
          <w:sz w:val="24"/>
          <w:szCs w:val="24"/>
        </w:rPr>
        <w:t>refined the</w:t>
      </w:r>
      <w:r w:rsidR="001A4E5C">
        <w:rPr>
          <w:rFonts w:ascii="Arial" w:hAnsi="Arial" w:cs="Arial"/>
          <w:sz w:val="24"/>
          <w:szCs w:val="24"/>
        </w:rPr>
        <w:t>ir</w:t>
      </w:r>
      <w:r w:rsidRPr="00B1350E">
        <w:rPr>
          <w:rFonts w:ascii="Arial" w:hAnsi="Arial" w:cs="Arial"/>
          <w:sz w:val="24"/>
          <w:szCs w:val="24"/>
        </w:rPr>
        <w:t xml:space="preserve"> chain</w:t>
      </w:r>
      <w:r w:rsidR="001A4E5C">
        <w:rPr>
          <w:rFonts w:ascii="Arial" w:hAnsi="Arial" w:cs="Arial"/>
          <w:sz w:val="24"/>
          <w:szCs w:val="24"/>
        </w:rPr>
        <w:t>s</w:t>
      </w:r>
      <w:r w:rsidRPr="00B1350E">
        <w:rPr>
          <w:rFonts w:ascii="Arial" w:hAnsi="Arial" w:cs="Arial"/>
          <w:sz w:val="24"/>
          <w:szCs w:val="24"/>
        </w:rPr>
        <w:t>, the social network was refined further to stratify users into two groups:  target users who initially participate in the library services and activities</w:t>
      </w:r>
      <w:r w:rsidR="001A4E5C">
        <w:rPr>
          <w:rFonts w:ascii="Arial" w:hAnsi="Arial" w:cs="Arial"/>
          <w:sz w:val="24"/>
          <w:szCs w:val="24"/>
        </w:rPr>
        <w:t>,</w:t>
      </w:r>
      <w:r w:rsidRPr="00B1350E">
        <w:rPr>
          <w:rFonts w:ascii="Arial" w:hAnsi="Arial" w:cs="Arial"/>
          <w:sz w:val="24"/>
          <w:szCs w:val="24"/>
        </w:rPr>
        <w:t xml:space="preserve"> and potential users</w:t>
      </w:r>
      <w:r w:rsidR="001A4E5C">
        <w:rPr>
          <w:rFonts w:ascii="Arial" w:hAnsi="Arial" w:cs="Arial"/>
          <w:sz w:val="24"/>
          <w:szCs w:val="24"/>
        </w:rPr>
        <w:t xml:space="preserve"> </w:t>
      </w:r>
      <w:r w:rsidRPr="00B1350E">
        <w:rPr>
          <w:rFonts w:ascii="Arial" w:hAnsi="Arial" w:cs="Arial"/>
          <w:sz w:val="24"/>
          <w:szCs w:val="24"/>
        </w:rPr>
        <w:t xml:space="preserve">who might opt to participate in the same services and activities as </w:t>
      </w:r>
      <w:r w:rsidR="001A4E5C" w:rsidRPr="00B1350E">
        <w:rPr>
          <w:rFonts w:ascii="Arial" w:hAnsi="Arial" w:cs="Arial"/>
          <w:sz w:val="24"/>
          <w:szCs w:val="24"/>
        </w:rPr>
        <w:t xml:space="preserve">target users </w:t>
      </w:r>
      <w:r w:rsidR="001A4E5C">
        <w:rPr>
          <w:rFonts w:ascii="Arial" w:hAnsi="Arial" w:cs="Arial"/>
          <w:sz w:val="24"/>
          <w:szCs w:val="24"/>
        </w:rPr>
        <w:t>dif</w:t>
      </w:r>
      <w:r w:rsidR="00B82E5A">
        <w:rPr>
          <w:rFonts w:ascii="Arial" w:hAnsi="Arial" w:cs="Arial"/>
          <w:sz w:val="24"/>
          <w:szCs w:val="24"/>
        </w:rPr>
        <w:t>f</w:t>
      </w:r>
      <w:r w:rsidR="001A4E5C">
        <w:rPr>
          <w:rFonts w:ascii="Arial" w:hAnsi="Arial" w:cs="Arial"/>
          <w:sz w:val="24"/>
          <w:szCs w:val="24"/>
        </w:rPr>
        <w:t xml:space="preserve">use </w:t>
      </w:r>
      <w:r w:rsidRPr="00B1350E">
        <w:rPr>
          <w:rFonts w:ascii="Arial" w:hAnsi="Arial" w:cs="Arial"/>
          <w:sz w:val="24"/>
          <w:szCs w:val="24"/>
        </w:rPr>
        <w:t>information</w:t>
      </w:r>
      <w:r w:rsidR="001A4E5C">
        <w:rPr>
          <w:rFonts w:ascii="Arial" w:hAnsi="Arial" w:cs="Arial"/>
          <w:sz w:val="24"/>
          <w:szCs w:val="24"/>
        </w:rPr>
        <w:t xml:space="preserve"> about value they found.</w:t>
      </w:r>
      <w:r w:rsidR="00921A46" w:rsidRPr="00B1350E">
        <w:rPr>
          <w:rStyle w:val="FootnoteReference"/>
          <w:rFonts w:ascii="Arial" w:hAnsi="Arial" w:cs="Arial"/>
          <w:sz w:val="24"/>
          <w:szCs w:val="24"/>
        </w:rPr>
        <w:t xml:space="preserve"> </w:t>
      </w:r>
    </w:p>
    <w:p w:rsidR="00874A28" w:rsidRPr="00B1350E" w:rsidRDefault="0043129C" w:rsidP="00874A28">
      <w:pPr>
        <w:pStyle w:val="Body1"/>
        <w:spacing w:before="120" w:after="120" w:line="360" w:lineRule="auto"/>
        <w:rPr>
          <w:rStyle w:val="FootnoteReference"/>
          <w:rFonts w:ascii="Arial" w:hAnsi="Arial" w:cs="Arial"/>
          <w:sz w:val="24"/>
          <w:szCs w:val="24"/>
        </w:rPr>
      </w:pPr>
      <w:r w:rsidRPr="00B1350E">
        <w:rPr>
          <w:rFonts w:ascii="Arial" w:hAnsi="Arial" w:cs="Arial"/>
          <w:sz w:val="24"/>
          <w:szCs w:val="24"/>
        </w:rPr>
        <w:t xml:space="preserve">By the end of this phase, each team </w:t>
      </w:r>
      <w:r w:rsidR="00B82E5A">
        <w:rPr>
          <w:rFonts w:ascii="Arial" w:hAnsi="Arial" w:cs="Arial"/>
          <w:sz w:val="24"/>
          <w:szCs w:val="24"/>
        </w:rPr>
        <w:t xml:space="preserve">had </w:t>
      </w:r>
      <w:r w:rsidRPr="00B1350E">
        <w:rPr>
          <w:rFonts w:ascii="Arial" w:hAnsi="Arial" w:cs="Arial"/>
          <w:sz w:val="24"/>
          <w:szCs w:val="24"/>
        </w:rPr>
        <w:t xml:space="preserve">produced at least three results chains that corresponded with </w:t>
      </w:r>
      <w:r w:rsidR="00B82E5A">
        <w:rPr>
          <w:rFonts w:ascii="Arial" w:hAnsi="Arial" w:cs="Arial"/>
          <w:sz w:val="24"/>
          <w:szCs w:val="24"/>
        </w:rPr>
        <w:t>their</w:t>
      </w:r>
      <w:r w:rsidRPr="00B1350E">
        <w:rPr>
          <w:rFonts w:ascii="Arial" w:hAnsi="Arial" w:cs="Arial"/>
          <w:sz w:val="24"/>
          <w:szCs w:val="24"/>
        </w:rPr>
        <w:t xml:space="preserve"> perceptions of major objectives tied to their team’s federal priority. The six teams completed about 25 results chains over a six week period.</w:t>
      </w:r>
      <w:r w:rsidR="00874A28" w:rsidRPr="00B1350E">
        <w:rPr>
          <w:rStyle w:val="FootnoteReference"/>
          <w:rFonts w:ascii="Arial" w:hAnsi="Arial" w:cs="Arial"/>
          <w:sz w:val="24"/>
          <w:szCs w:val="24"/>
        </w:rPr>
        <w:t xml:space="preserve"> </w:t>
      </w:r>
    </w:p>
    <w:p w:rsidR="0043129C" w:rsidRPr="00B1350E" w:rsidRDefault="0043129C" w:rsidP="0043129C">
      <w:pPr>
        <w:pStyle w:val="Body1"/>
        <w:spacing w:before="120" w:after="120" w:line="360" w:lineRule="auto"/>
        <w:rPr>
          <w:rFonts w:ascii="Arial" w:hAnsi="Arial" w:cs="Arial"/>
          <w:sz w:val="24"/>
          <w:szCs w:val="24"/>
        </w:rPr>
      </w:pPr>
    </w:p>
    <w:p w:rsidR="009A6F70" w:rsidRPr="00B82E5A" w:rsidRDefault="00B82E5A" w:rsidP="008D59F8">
      <w:pPr>
        <w:tabs>
          <w:tab w:val="left" w:pos="3996"/>
        </w:tabs>
        <w:spacing w:before="120" w:after="120" w:line="360" w:lineRule="auto"/>
        <w:rPr>
          <w:rFonts w:ascii="Arial" w:hAnsi="Arial" w:cs="Arial"/>
          <w:b/>
        </w:rPr>
      </w:pPr>
      <w:r>
        <w:rPr>
          <w:rFonts w:ascii="Arial" w:hAnsi="Arial" w:cs="Arial"/>
          <w:b/>
        </w:rPr>
        <w:t>Refining</w:t>
      </w:r>
      <w:r w:rsidR="00032AA3" w:rsidRPr="00B82E5A">
        <w:rPr>
          <w:rFonts w:ascii="Arial" w:hAnsi="Arial" w:cs="Arial"/>
          <w:b/>
        </w:rPr>
        <w:t xml:space="preserve"> Results Chains</w:t>
      </w:r>
    </w:p>
    <w:p w:rsidR="0028185F" w:rsidRPr="00B1350E" w:rsidRDefault="0028185F" w:rsidP="008D59F8">
      <w:pPr>
        <w:tabs>
          <w:tab w:val="left" w:pos="3996"/>
        </w:tabs>
        <w:spacing w:before="120" w:after="120" w:line="360" w:lineRule="auto"/>
        <w:rPr>
          <w:rFonts w:ascii="Arial" w:hAnsi="Arial" w:cs="Arial"/>
        </w:rPr>
      </w:pPr>
      <w:r w:rsidRPr="00B1350E">
        <w:rPr>
          <w:rFonts w:ascii="Arial" w:hAnsi="Arial" w:cs="Arial"/>
        </w:rPr>
        <w:lastRenderedPageBreak/>
        <w:t xml:space="preserve">As the initial iteration of the logic maps </w:t>
      </w:r>
      <w:r w:rsidR="00B45D49" w:rsidRPr="00B1350E">
        <w:rPr>
          <w:rFonts w:ascii="Arial" w:hAnsi="Arial" w:cs="Arial"/>
        </w:rPr>
        <w:t xml:space="preserve">was </w:t>
      </w:r>
      <w:r w:rsidRPr="00B1350E">
        <w:rPr>
          <w:rFonts w:ascii="Arial" w:hAnsi="Arial" w:cs="Arial"/>
        </w:rPr>
        <w:t>finalized</w:t>
      </w:r>
      <w:r w:rsidR="006D1F66" w:rsidRPr="00B1350E">
        <w:rPr>
          <w:rFonts w:ascii="Arial" w:hAnsi="Arial" w:cs="Arial"/>
        </w:rPr>
        <w:t xml:space="preserve">, </w:t>
      </w:r>
      <w:r w:rsidR="00B45D49" w:rsidRPr="00B1350E">
        <w:rPr>
          <w:rFonts w:ascii="Arial" w:hAnsi="Arial" w:cs="Arial"/>
        </w:rPr>
        <w:t xml:space="preserve">this phase of </w:t>
      </w:r>
      <w:r w:rsidR="006D1F66" w:rsidRPr="00B1350E">
        <w:rPr>
          <w:rFonts w:ascii="Arial" w:hAnsi="Arial" w:cs="Arial"/>
        </w:rPr>
        <w:t>SLAA</w:t>
      </w:r>
      <w:r w:rsidRPr="00B1350E">
        <w:rPr>
          <w:rFonts w:ascii="Arial" w:hAnsi="Arial" w:cs="Arial"/>
        </w:rPr>
        <w:t xml:space="preserve"> </w:t>
      </w:r>
      <w:r w:rsidR="00B45D49" w:rsidRPr="00B1350E">
        <w:rPr>
          <w:rFonts w:ascii="Arial" w:hAnsi="Arial" w:cs="Arial"/>
        </w:rPr>
        <w:t xml:space="preserve">teamwork </w:t>
      </w:r>
      <w:r w:rsidRPr="00B1350E">
        <w:rPr>
          <w:rFonts w:ascii="Arial" w:hAnsi="Arial" w:cs="Arial"/>
        </w:rPr>
        <w:t>end</w:t>
      </w:r>
      <w:r w:rsidR="00B45D49" w:rsidRPr="00B1350E">
        <w:rPr>
          <w:rFonts w:ascii="Arial" w:hAnsi="Arial" w:cs="Arial"/>
        </w:rPr>
        <w:t>ed</w:t>
      </w:r>
      <w:r w:rsidRPr="00B1350E">
        <w:rPr>
          <w:rFonts w:ascii="Arial" w:hAnsi="Arial" w:cs="Arial"/>
        </w:rPr>
        <w:t xml:space="preserve">.  The </w:t>
      </w:r>
      <w:r w:rsidR="00B45D49" w:rsidRPr="00B1350E">
        <w:rPr>
          <w:rFonts w:ascii="Arial" w:hAnsi="Arial" w:cs="Arial"/>
        </w:rPr>
        <w:t xml:space="preserve">initiative’s </w:t>
      </w:r>
      <w:r w:rsidRPr="00B1350E">
        <w:rPr>
          <w:rFonts w:ascii="Arial" w:hAnsi="Arial" w:cs="Arial"/>
        </w:rPr>
        <w:t xml:space="preserve">original design had assumed that the logic mapping would </w:t>
      </w:r>
      <w:r w:rsidR="00B45D49" w:rsidRPr="00B1350E">
        <w:rPr>
          <w:rFonts w:ascii="Arial" w:hAnsi="Arial" w:cs="Arial"/>
        </w:rPr>
        <w:t>be complete enough that SLAA planning participants could</w:t>
      </w:r>
      <w:r w:rsidR="00D13225" w:rsidRPr="00B1350E">
        <w:rPr>
          <w:rFonts w:ascii="Arial" w:hAnsi="Arial" w:cs="Arial"/>
        </w:rPr>
        <w:t>:</w:t>
      </w:r>
      <w:r w:rsidR="00B45D49" w:rsidRPr="00B1350E">
        <w:rPr>
          <w:rFonts w:ascii="Arial" w:hAnsi="Arial" w:cs="Arial"/>
        </w:rPr>
        <w:t xml:space="preserve"> </w:t>
      </w:r>
      <w:r w:rsidRPr="00B1350E">
        <w:rPr>
          <w:rFonts w:ascii="Arial" w:hAnsi="Arial" w:cs="Arial"/>
        </w:rPr>
        <w:t xml:space="preserve">(1) recommend points on the results chains for national assessment; and (2) </w:t>
      </w:r>
      <w:r w:rsidR="00BF4ECD" w:rsidRPr="00B1350E">
        <w:rPr>
          <w:rFonts w:ascii="Arial" w:hAnsi="Arial" w:cs="Arial"/>
        </w:rPr>
        <w:t xml:space="preserve">agree on </w:t>
      </w:r>
      <w:r w:rsidRPr="00B1350E">
        <w:rPr>
          <w:rFonts w:ascii="Arial" w:hAnsi="Arial" w:cs="Arial"/>
        </w:rPr>
        <w:t>construction and methods of assessment at these points</w:t>
      </w:r>
      <w:r w:rsidR="0043129C" w:rsidRPr="00B1350E">
        <w:rPr>
          <w:rFonts w:ascii="Arial" w:hAnsi="Arial" w:cs="Arial"/>
        </w:rPr>
        <w:t xml:space="preserve"> using descriptive statistics and/or other appropriate qualitative tools</w:t>
      </w:r>
      <w:r w:rsidRPr="00B1350E">
        <w:rPr>
          <w:rFonts w:ascii="Arial" w:hAnsi="Arial" w:cs="Arial"/>
        </w:rPr>
        <w:t xml:space="preserve">.  </w:t>
      </w:r>
      <w:r w:rsidR="00B82E5A">
        <w:rPr>
          <w:rFonts w:ascii="Arial" w:hAnsi="Arial" w:cs="Arial"/>
        </w:rPr>
        <w:t>T</w:t>
      </w:r>
      <w:r w:rsidRPr="00B1350E">
        <w:rPr>
          <w:rFonts w:ascii="Arial" w:hAnsi="Arial" w:cs="Arial"/>
        </w:rPr>
        <w:t>he first</w:t>
      </w:r>
      <w:r w:rsidR="00BF4ECD" w:rsidRPr="00B1350E">
        <w:rPr>
          <w:rFonts w:ascii="Arial" w:hAnsi="Arial" w:cs="Arial"/>
        </w:rPr>
        <w:t xml:space="preserve"> goal</w:t>
      </w:r>
      <w:r w:rsidRPr="00B1350E">
        <w:rPr>
          <w:rFonts w:ascii="Arial" w:hAnsi="Arial" w:cs="Arial"/>
        </w:rPr>
        <w:t xml:space="preserve"> was </w:t>
      </w:r>
      <w:r w:rsidR="00B82E5A">
        <w:rPr>
          <w:rFonts w:ascii="Arial" w:hAnsi="Arial" w:cs="Arial"/>
        </w:rPr>
        <w:t>complete</w:t>
      </w:r>
      <w:r w:rsidR="00BF4ECD" w:rsidRPr="00B1350E">
        <w:rPr>
          <w:rFonts w:ascii="Arial" w:hAnsi="Arial" w:cs="Arial"/>
        </w:rPr>
        <w:t xml:space="preserve"> by </w:t>
      </w:r>
      <w:r w:rsidR="004A334F" w:rsidRPr="00B1350E">
        <w:rPr>
          <w:rFonts w:ascii="Arial" w:hAnsi="Arial" w:cs="Arial"/>
        </w:rPr>
        <w:t>mid-August</w:t>
      </w:r>
      <w:r w:rsidRPr="00B1350E">
        <w:rPr>
          <w:rFonts w:ascii="Arial" w:hAnsi="Arial" w:cs="Arial"/>
        </w:rPr>
        <w:t xml:space="preserve">, </w:t>
      </w:r>
      <w:r w:rsidR="00B82E5A">
        <w:rPr>
          <w:rFonts w:ascii="Arial" w:hAnsi="Arial" w:cs="Arial"/>
        </w:rPr>
        <w:t xml:space="preserve">but </w:t>
      </w:r>
      <w:r w:rsidRPr="00B1350E">
        <w:rPr>
          <w:rFonts w:ascii="Arial" w:hAnsi="Arial" w:cs="Arial"/>
        </w:rPr>
        <w:t xml:space="preserve">the second </w:t>
      </w:r>
      <w:r w:rsidR="00885A41" w:rsidRPr="00B1350E">
        <w:rPr>
          <w:rFonts w:ascii="Arial" w:hAnsi="Arial" w:cs="Arial"/>
        </w:rPr>
        <w:t xml:space="preserve">never </w:t>
      </w:r>
      <w:r w:rsidR="00B82E5A">
        <w:rPr>
          <w:rFonts w:ascii="Arial" w:hAnsi="Arial" w:cs="Arial"/>
        </w:rPr>
        <w:t>occurred</w:t>
      </w:r>
      <w:r w:rsidRPr="00B1350E">
        <w:rPr>
          <w:rFonts w:ascii="Arial" w:hAnsi="Arial" w:cs="Arial"/>
        </w:rPr>
        <w:t xml:space="preserve">. </w:t>
      </w:r>
      <w:r w:rsidR="00B82E5A">
        <w:rPr>
          <w:rFonts w:ascii="Arial" w:hAnsi="Arial" w:cs="Arial"/>
        </w:rPr>
        <w:t xml:space="preserve"> </w:t>
      </w:r>
      <w:r w:rsidRPr="00B1350E">
        <w:rPr>
          <w:rFonts w:ascii="Arial" w:hAnsi="Arial" w:cs="Arial"/>
        </w:rPr>
        <w:t xml:space="preserve">Instead, after reflection, </w:t>
      </w:r>
      <w:r w:rsidR="00BF4ECD" w:rsidRPr="00B1350E">
        <w:rPr>
          <w:rFonts w:ascii="Arial" w:hAnsi="Arial" w:cs="Arial"/>
        </w:rPr>
        <w:t xml:space="preserve">it became clear that </w:t>
      </w:r>
      <w:r w:rsidRPr="00B1350E">
        <w:rPr>
          <w:rFonts w:ascii="Arial" w:hAnsi="Arial" w:cs="Arial"/>
        </w:rPr>
        <w:t>further refinement of the logic</w:t>
      </w:r>
      <w:r w:rsidR="00BF4ECD" w:rsidRPr="00B1350E">
        <w:rPr>
          <w:rFonts w:ascii="Arial" w:hAnsi="Arial" w:cs="Arial"/>
        </w:rPr>
        <w:t xml:space="preserve"> w</w:t>
      </w:r>
      <w:r w:rsidR="00B03857" w:rsidRPr="00B1350E">
        <w:rPr>
          <w:rFonts w:ascii="Arial" w:hAnsi="Arial" w:cs="Arial"/>
        </w:rPr>
        <w:t>as</w:t>
      </w:r>
      <w:r w:rsidR="00BF4ECD" w:rsidRPr="00B1350E">
        <w:rPr>
          <w:rFonts w:ascii="Arial" w:hAnsi="Arial" w:cs="Arial"/>
        </w:rPr>
        <w:t xml:space="preserve"> needed</w:t>
      </w:r>
      <w:r w:rsidRPr="00B1350E">
        <w:rPr>
          <w:rFonts w:ascii="Arial" w:hAnsi="Arial" w:cs="Arial"/>
        </w:rPr>
        <w:t>.</w:t>
      </w:r>
    </w:p>
    <w:p w:rsidR="004A334F" w:rsidRPr="00B1350E" w:rsidRDefault="00B82E5A" w:rsidP="008D59F8">
      <w:pPr>
        <w:tabs>
          <w:tab w:val="left" w:pos="3996"/>
        </w:tabs>
        <w:spacing w:before="120" w:after="120" w:line="360" w:lineRule="auto"/>
        <w:rPr>
          <w:rFonts w:ascii="Arial" w:hAnsi="Arial" w:cs="Arial"/>
        </w:rPr>
      </w:pPr>
      <w:r>
        <w:rPr>
          <w:rFonts w:ascii="Arial" w:hAnsi="Arial" w:cs="Arial"/>
        </w:rPr>
        <w:t>Chain r</w:t>
      </w:r>
      <w:r w:rsidR="003D4225" w:rsidRPr="00B1350E">
        <w:rPr>
          <w:rFonts w:ascii="Arial" w:hAnsi="Arial" w:cs="Arial"/>
        </w:rPr>
        <w:t xml:space="preserve">efinement reflected the </w:t>
      </w:r>
      <w:r>
        <w:rPr>
          <w:rFonts w:ascii="Arial" w:hAnsi="Arial" w:cs="Arial"/>
        </w:rPr>
        <w:t xml:space="preserve">political </w:t>
      </w:r>
      <w:r w:rsidR="003D4225" w:rsidRPr="00B1350E">
        <w:rPr>
          <w:rFonts w:ascii="Arial" w:hAnsi="Arial" w:cs="Arial"/>
        </w:rPr>
        <w:t xml:space="preserve">reality </w:t>
      </w:r>
      <w:r>
        <w:rPr>
          <w:rFonts w:ascii="Arial" w:hAnsi="Arial" w:cs="Arial"/>
        </w:rPr>
        <w:t>of</w:t>
      </w:r>
      <w:r w:rsidR="003D4225" w:rsidRPr="00B1350E">
        <w:rPr>
          <w:rFonts w:ascii="Arial" w:hAnsi="Arial" w:cs="Arial"/>
        </w:rPr>
        <w:t xml:space="preserve"> federal </w:t>
      </w:r>
      <w:r w:rsidR="00BF4ECD" w:rsidRPr="00B1350E">
        <w:rPr>
          <w:rFonts w:ascii="Arial" w:hAnsi="Arial" w:cs="Arial"/>
        </w:rPr>
        <w:t xml:space="preserve">legislation </w:t>
      </w:r>
      <w:r>
        <w:rPr>
          <w:rFonts w:ascii="Arial" w:hAnsi="Arial" w:cs="Arial"/>
        </w:rPr>
        <w:t>governing Grants to States</w:t>
      </w:r>
      <w:r w:rsidR="003D4225" w:rsidRPr="00B1350E">
        <w:rPr>
          <w:rFonts w:ascii="Arial" w:hAnsi="Arial" w:cs="Arial"/>
        </w:rPr>
        <w:t>.  Its</w:t>
      </w:r>
      <w:r w:rsidR="00B03857" w:rsidRPr="00B1350E">
        <w:rPr>
          <w:rFonts w:ascii="Arial" w:hAnsi="Arial" w:cs="Arial"/>
        </w:rPr>
        <w:t xml:space="preserve"> </w:t>
      </w:r>
      <w:r w:rsidR="003D4225" w:rsidRPr="00B1350E">
        <w:rPr>
          <w:rFonts w:ascii="Arial" w:hAnsi="Arial" w:cs="Arial"/>
        </w:rPr>
        <w:t xml:space="preserve">programmatic </w:t>
      </w:r>
      <w:r w:rsidR="00921A46" w:rsidRPr="00B1350E">
        <w:rPr>
          <w:rFonts w:ascii="Arial" w:hAnsi="Arial" w:cs="Arial"/>
        </w:rPr>
        <w:t xml:space="preserve">priorities did not articulate </w:t>
      </w:r>
      <w:r w:rsidR="00B03857" w:rsidRPr="00B1350E">
        <w:rPr>
          <w:rFonts w:ascii="Arial" w:hAnsi="Arial" w:cs="Arial"/>
        </w:rPr>
        <w:t xml:space="preserve">specific </w:t>
      </w:r>
      <w:r w:rsidR="00921A46" w:rsidRPr="00B1350E">
        <w:rPr>
          <w:rFonts w:ascii="Arial" w:hAnsi="Arial" w:cs="Arial"/>
        </w:rPr>
        <w:t xml:space="preserve">outcomes </w:t>
      </w:r>
      <w:r w:rsidR="003D4225" w:rsidRPr="00B1350E">
        <w:rPr>
          <w:rFonts w:ascii="Arial" w:hAnsi="Arial" w:cs="Arial"/>
        </w:rPr>
        <w:t>expected</w:t>
      </w:r>
      <w:r w:rsidR="00B03857" w:rsidRPr="00B1350E">
        <w:rPr>
          <w:rFonts w:ascii="Arial" w:hAnsi="Arial" w:cs="Arial"/>
        </w:rPr>
        <w:t xml:space="preserve"> for various</w:t>
      </w:r>
      <w:r w:rsidR="00921A46" w:rsidRPr="00B1350E">
        <w:rPr>
          <w:rFonts w:ascii="Arial" w:hAnsi="Arial" w:cs="Arial"/>
        </w:rPr>
        <w:t xml:space="preserve"> segments of the </w:t>
      </w:r>
      <w:r>
        <w:rPr>
          <w:rFonts w:ascii="Arial" w:hAnsi="Arial" w:cs="Arial"/>
        </w:rPr>
        <w:t>US</w:t>
      </w:r>
      <w:r w:rsidR="00921A46" w:rsidRPr="00B1350E">
        <w:rPr>
          <w:rFonts w:ascii="Arial" w:hAnsi="Arial" w:cs="Arial"/>
        </w:rPr>
        <w:t xml:space="preserve"> public and communities</w:t>
      </w:r>
      <w:r w:rsidR="009D291F" w:rsidRPr="00B1350E">
        <w:rPr>
          <w:rFonts w:ascii="Arial" w:hAnsi="Arial" w:cs="Arial"/>
        </w:rPr>
        <w:t xml:space="preserve">.  </w:t>
      </w:r>
      <w:r>
        <w:rPr>
          <w:rFonts w:ascii="Arial" w:hAnsi="Arial" w:cs="Arial"/>
        </w:rPr>
        <w:t>T</w:t>
      </w:r>
      <w:r w:rsidR="003D4225" w:rsidRPr="00B1350E">
        <w:rPr>
          <w:rFonts w:ascii="Arial" w:hAnsi="Arial" w:cs="Arial"/>
        </w:rPr>
        <w:t xml:space="preserve">he initial round of results chains </w:t>
      </w:r>
      <w:r>
        <w:rPr>
          <w:rFonts w:ascii="Arial" w:hAnsi="Arial" w:cs="Arial"/>
        </w:rPr>
        <w:t>exposed</w:t>
      </w:r>
      <w:r w:rsidR="003D4225" w:rsidRPr="00B1350E">
        <w:rPr>
          <w:rFonts w:ascii="Arial" w:hAnsi="Arial" w:cs="Arial"/>
        </w:rPr>
        <w:t xml:space="preserve"> a </w:t>
      </w:r>
      <w:r w:rsidR="00DB7945" w:rsidRPr="00B1350E">
        <w:rPr>
          <w:rFonts w:ascii="Arial" w:hAnsi="Arial" w:cs="Arial"/>
        </w:rPr>
        <w:t xml:space="preserve">schism in mapping to federal priorities </w:t>
      </w:r>
      <w:r w:rsidR="003D4225" w:rsidRPr="00B1350E">
        <w:rPr>
          <w:rFonts w:ascii="Arial" w:hAnsi="Arial" w:cs="Arial"/>
        </w:rPr>
        <w:t>and</w:t>
      </w:r>
      <w:r w:rsidR="00DB7945" w:rsidRPr="00B1350E">
        <w:rPr>
          <w:rFonts w:ascii="Arial" w:hAnsi="Arial" w:cs="Arial"/>
        </w:rPr>
        <w:t xml:space="preserve"> to intended changes </w:t>
      </w:r>
      <w:r w:rsidR="003D4225" w:rsidRPr="00B1350E">
        <w:rPr>
          <w:rFonts w:ascii="Arial" w:hAnsi="Arial" w:cs="Arial"/>
        </w:rPr>
        <w:t>in participant circumstances</w:t>
      </w:r>
      <w:r w:rsidR="00DB7945" w:rsidRPr="00B1350E">
        <w:rPr>
          <w:rFonts w:ascii="Arial" w:hAnsi="Arial" w:cs="Arial"/>
        </w:rPr>
        <w:t xml:space="preserve">.  </w:t>
      </w:r>
      <w:r w:rsidR="00D13225" w:rsidRPr="00B1350E">
        <w:rPr>
          <w:rFonts w:ascii="Arial" w:hAnsi="Arial" w:cs="Arial"/>
        </w:rPr>
        <w:t>A</w:t>
      </w:r>
      <w:r w:rsidR="008E4195" w:rsidRPr="00B1350E">
        <w:rPr>
          <w:rFonts w:ascii="Arial" w:hAnsi="Arial" w:cs="Arial"/>
        </w:rPr>
        <w:t xml:space="preserve"> decision </w:t>
      </w:r>
      <w:r w:rsidR="00DA3B6E">
        <w:rPr>
          <w:rFonts w:ascii="Arial" w:hAnsi="Arial" w:cs="Arial"/>
        </w:rPr>
        <w:t xml:space="preserve">consequently </w:t>
      </w:r>
      <w:r w:rsidR="008E4195" w:rsidRPr="00B1350E">
        <w:rPr>
          <w:rFonts w:ascii="Arial" w:hAnsi="Arial" w:cs="Arial"/>
        </w:rPr>
        <w:t xml:space="preserve">was made to continue </w:t>
      </w:r>
      <w:r w:rsidR="004A334F" w:rsidRPr="00B1350E">
        <w:rPr>
          <w:rFonts w:ascii="Arial" w:hAnsi="Arial" w:cs="Arial"/>
        </w:rPr>
        <w:t>IMLS facilitation of the new system</w:t>
      </w:r>
      <w:r w:rsidR="008E4195" w:rsidRPr="00B1350E">
        <w:rPr>
          <w:rFonts w:ascii="Arial" w:hAnsi="Arial" w:cs="Arial"/>
        </w:rPr>
        <w:t xml:space="preserve"> </w:t>
      </w:r>
      <w:r w:rsidR="00290D74" w:rsidRPr="00B1350E">
        <w:rPr>
          <w:rFonts w:ascii="Arial" w:hAnsi="Arial" w:cs="Arial"/>
        </w:rPr>
        <w:t xml:space="preserve">design </w:t>
      </w:r>
      <w:r w:rsidR="008E4195" w:rsidRPr="00B1350E">
        <w:rPr>
          <w:rFonts w:ascii="Arial" w:hAnsi="Arial" w:cs="Arial"/>
        </w:rPr>
        <w:t>for another several months</w:t>
      </w:r>
      <w:r w:rsidR="00290D74" w:rsidRPr="00B1350E">
        <w:rPr>
          <w:rFonts w:ascii="Arial" w:hAnsi="Arial" w:cs="Arial"/>
        </w:rPr>
        <w:t xml:space="preserve"> using </w:t>
      </w:r>
      <w:r w:rsidR="008E4195" w:rsidRPr="00B1350E">
        <w:rPr>
          <w:rFonts w:ascii="Arial" w:hAnsi="Arial" w:cs="Arial"/>
        </w:rPr>
        <w:t>a small</w:t>
      </w:r>
      <w:r w:rsidR="00B03857" w:rsidRPr="00B1350E">
        <w:rPr>
          <w:rFonts w:ascii="Arial" w:hAnsi="Arial" w:cs="Arial"/>
        </w:rPr>
        <w:t>er</w:t>
      </w:r>
      <w:r w:rsidR="008E4195" w:rsidRPr="00B1350E">
        <w:rPr>
          <w:rFonts w:ascii="Arial" w:hAnsi="Arial" w:cs="Arial"/>
        </w:rPr>
        <w:t xml:space="preserve"> group of SLAA participants</w:t>
      </w:r>
      <w:r w:rsidR="004A334F" w:rsidRPr="00B1350E">
        <w:rPr>
          <w:rFonts w:ascii="Arial" w:hAnsi="Arial" w:cs="Arial"/>
        </w:rPr>
        <w:t xml:space="preserve"> who had emerged as</w:t>
      </w:r>
      <w:r w:rsidR="00392D5D" w:rsidRPr="00B1350E">
        <w:rPr>
          <w:rFonts w:ascii="Arial" w:hAnsi="Arial" w:cs="Arial"/>
        </w:rPr>
        <w:t xml:space="preserve"> </w:t>
      </w:r>
      <w:r w:rsidR="004A334F" w:rsidRPr="00B1350E">
        <w:rPr>
          <w:rFonts w:ascii="Arial" w:hAnsi="Arial" w:cs="Arial"/>
        </w:rPr>
        <w:t>leaders</w:t>
      </w:r>
      <w:r w:rsidR="00B03857" w:rsidRPr="00B1350E">
        <w:rPr>
          <w:rFonts w:ascii="Arial" w:hAnsi="Arial" w:cs="Arial"/>
        </w:rPr>
        <w:t>.</w:t>
      </w:r>
      <w:r w:rsidR="008E4195" w:rsidRPr="00B1350E">
        <w:rPr>
          <w:rFonts w:ascii="Arial" w:hAnsi="Arial" w:cs="Arial"/>
        </w:rPr>
        <w:t xml:space="preserve"> </w:t>
      </w:r>
      <w:r w:rsidR="00290D74" w:rsidRPr="00B1350E">
        <w:rPr>
          <w:rFonts w:ascii="Arial" w:hAnsi="Arial" w:cs="Arial"/>
        </w:rPr>
        <w:t xml:space="preserve"> Seventeen mid-level professionals </w:t>
      </w:r>
      <w:r w:rsidR="008E4195" w:rsidRPr="00B1350E">
        <w:rPr>
          <w:rFonts w:ascii="Arial" w:hAnsi="Arial" w:cs="Arial"/>
        </w:rPr>
        <w:t xml:space="preserve">from </w:t>
      </w:r>
      <w:r>
        <w:rPr>
          <w:rFonts w:ascii="Arial" w:hAnsi="Arial" w:cs="Arial"/>
        </w:rPr>
        <w:t>sixteen</w:t>
      </w:r>
      <w:r w:rsidR="008E4195" w:rsidRPr="00B1350E">
        <w:rPr>
          <w:rFonts w:ascii="Arial" w:hAnsi="Arial" w:cs="Arial"/>
        </w:rPr>
        <w:t xml:space="preserve"> SLAA</w:t>
      </w:r>
      <w:r w:rsidR="00290D74" w:rsidRPr="00B1350E">
        <w:rPr>
          <w:rFonts w:ascii="Arial" w:hAnsi="Arial" w:cs="Arial"/>
        </w:rPr>
        <w:t>s</w:t>
      </w:r>
      <w:r w:rsidR="008E4195" w:rsidRPr="00B1350E">
        <w:rPr>
          <w:rFonts w:ascii="Arial" w:hAnsi="Arial" w:cs="Arial"/>
        </w:rPr>
        <w:t xml:space="preserve"> agreed to </w:t>
      </w:r>
      <w:r w:rsidR="009D291F" w:rsidRPr="00B1350E">
        <w:rPr>
          <w:rFonts w:ascii="Arial" w:hAnsi="Arial" w:cs="Arial"/>
        </w:rPr>
        <w:t>participate</w:t>
      </w:r>
      <w:r w:rsidR="00290D74" w:rsidRPr="00B1350E">
        <w:rPr>
          <w:rFonts w:ascii="Arial" w:hAnsi="Arial" w:cs="Arial"/>
        </w:rPr>
        <w:t xml:space="preserve"> as </w:t>
      </w:r>
      <w:r w:rsidR="008E4195" w:rsidRPr="00B1350E">
        <w:rPr>
          <w:rFonts w:ascii="Arial" w:hAnsi="Arial" w:cs="Arial"/>
        </w:rPr>
        <w:t>technical advisor</w:t>
      </w:r>
      <w:r w:rsidR="00290D74" w:rsidRPr="00B1350E">
        <w:rPr>
          <w:rFonts w:ascii="Arial" w:hAnsi="Arial" w:cs="Arial"/>
        </w:rPr>
        <w:t>s</w:t>
      </w:r>
      <w:r w:rsidR="008E4195" w:rsidRPr="00B1350E">
        <w:rPr>
          <w:rFonts w:ascii="Arial" w:hAnsi="Arial" w:cs="Arial"/>
        </w:rPr>
        <w:t xml:space="preserve">.  </w:t>
      </w:r>
    </w:p>
    <w:p w:rsidR="00D36FD3" w:rsidRDefault="00290D74" w:rsidP="00D36FD3">
      <w:pPr>
        <w:tabs>
          <w:tab w:val="left" w:pos="3996"/>
        </w:tabs>
        <w:spacing w:before="120" w:after="120" w:line="360" w:lineRule="auto"/>
        <w:rPr>
          <w:rFonts w:ascii="Arial" w:hAnsi="Arial" w:cs="Arial"/>
        </w:rPr>
      </w:pPr>
      <w:r w:rsidRPr="00B1350E">
        <w:rPr>
          <w:rFonts w:ascii="Arial" w:hAnsi="Arial" w:cs="Arial"/>
        </w:rPr>
        <w:t>T</w:t>
      </w:r>
      <w:r w:rsidR="008E4195" w:rsidRPr="00B1350E">
        <w:rPr>
          <w:rFonts w:ascii="Arial" w:hAnsi="Arial" w:cs="Arial"/>
        </w:rPr>
        <w:t>h</w:t>
      </w:r>
      <w:r w:rsidR="00651AE7" w:rsidRPr="00B1350E">
        <w:rPr>
          <w:rFonts w:ascii="Arial" w:hAnsi="Arial" w:cs="Arial"/>
        </w:rPr>
        <w:t>e</w:t>
      </w:r>
      <w:r w:rsidR="00B82E5A">
        <w:rPr>
          <w:rFonts w:ascii="Arial" w:hAnsi="Arial" w:cs="Arial"/>
        </w:rPr>
        <w:t>se</w:t>
      </w:r>
      <w:r w:rsidR="008E4195" w:rsidRPr="00B1350E">
        <w:rPr>
          <w:rFonts w:ascii="Arial" w:hAnsi="Arial" w:cs="Arial"/>
        </w:rPr>
        <w:t xml:space="preserve"> </w:t>
      </w:r>
      <w:r w:rsidR="00DB7945" w:rsidRPr="00B1350E">
        <w:rPr>
          <w:rFonts w:ascii="Arial" w:hAnsi="Arial" w:cs="Arial"/>
        </w:rPr>
        <w:t>technical advisor</w:t>
      </w:r>
      <w:r w:rsidR="00B82E5A">
        <w:rPr>
          <w:rFonts w:ascii="Arial" w:hAnsi="Arial" w:cs="Arial"/>
        </w:rPr>
        <w:t>s</w:t>
      </w:r>
      <w:r w:rsidRPr="00B1350E">
        <w:rPr>
          <w:rFonts w:ascii="Arial" w:hAnsi="Arial" w:cs="Arial"/>
        </w:rPr>
        <w:t xml:space="preserve"> first</w:t>
      </w:r>
      <w:r w:rsidR="008E4195" w:rsidRPr="00B1350E">
        <w:rPr>
          <w:rFonts w:ascii="Arial" w:hAnsi="Arial" w:cs="Arial"/>
        </w:rPr>
        <w:t xml:space="preserve"> convened </w:t>
      </w:r>
      <w:r w:rsidR="00921A46" w:rsidRPr="00B1350E">
        <w:rPr>
          <w:rFonts w:ascii="Arial" w:hAnsi="Arial" w:cs="Arial"/>
        </w:rPr>
        <w:t xml:space="preserve">in a webinar </w:t>
      </w:r>
      <w:r w:rsidR="008E4195" w:rsidRPr="00B1350E">
        <w:rPr>
          <w:rFonts w:ascii="Arial" w:hAnsi="Arial" w:cs="Arial"/>
        </w:rPr>
        <w:t>in late September 2011</w:t>
      </w:r>
      <w:r w:rsidRPr="00B1350E">
        <w:rPr>
          <w:rFonts w:ascii="Arial" w:hAnsi="Arial" w:cs="Arial"/>
        </w:rPr>
        <w:t>.  A</w:t>
      </w:r>
      <w:r w:rsidR="008E4195" w:rsidRPr="00B1350E">
        <w:rPr>
          <w:rFonts w:ascii="Arial" w:hAnsi="Arial" w:cs="Arial"/>
        </w:rPr>
        <w:t xml:space="preserve"> new configuration was presented </w:t>
      </w:r>
      <w:r w:rsidRPr="00B1350E">
        <w:rPr>
          <w:rFonts w:ascii="Arial" w:hAnsi="Arial" w:cs="Arial"/>
        </w:rPr>
        <w:t>for</w:t>
      </w:r>
      <w:r w:rsidR="008E4195" w:rsidRPr="00B1350E">
        <w:rPr>
          <w:rFonts w:ascii="Arial" w:hAnsi="Arial" w:cs="Arial"/>
        </w:rPr>
        <w:t xml:space="preserve"> consideration.  </w:t>
      </w:r>
      <w:r w:rsidR="00D36FD3" w:rsidRPr="00B1350E">
        <w:rPr>
          <w:rFonts w:ascii="Arial" w:hAnsi="Arial" w:cs="Arial"/>
        </w:rPr>
        <w:t>T</w:t>
      </w:r>
      <w:r w:rsidR="00B82E5A">
        <w:rPr>
          <w:rFonts w:ascii="Arial" w:hAnsi="Arial" w:cs="Arial"/>
        </w:rPr>
        <w:t>ab</w:t>
      </w:r>
      <w:r w:rsidR="008925BF">
        <w:rPr>
          <w:rFonts w:ascii="Arial" w:hAnsi="Arial" w:cs="Arial"/>
        </w:rPr>
        <w:t>le 2</w:t>
      </w:r>
      <w:r w:rsidR="00B82E5A">
        <w:rPr>
          <w:rFonts w:ascii="Arial" w:hAnsi="Arial" w:cs="Arial"/>
        </w:rPr>
        <w:t xml:space="preserve"> shows how the twenty-five</w:t>
      </w:r>
      <w:r w:rsidR="00D36FD3" w:rsidRPr="00B1350E">
        <w:rPr>
          <w:rFonts w:ascii="Arial" w:hAnsi="Arial" w:cs="Arial"/>
        </w:rPr>
        <w:t xml:space="preserve"> results chains</w:t>
      </w:r>
      <w:r w:rsidR="00B82E5A">
        <w:rPr>
          <w:rFonts w:ascii="Arial" w:hAnsi="Arial" w:cs="Arial"/>
        </w:rPr>
        <w:t xml:space="preserve"> created by the original SLA teams </w:t>
      </w:r>
      <w:r w:rsidR="00D36FD3" w:rsidRPr="00B1350E">
        <w:rPr>
          <w:rFonts w:ascii="Arial" w:hAnsi="Arial" w:cs="Arial"/>
        </w:rPr>
        <w:t xml:space="preserve">were </w:t>
      </w:r>
      <w:r w:rsidR="00DB7945" w:rsidRPr="00B1350E">
        <w:rPr>
          <w:rFonts w:ascii="Arial" w:hAnsi="Arial" w:cs="Arial"/>
        </w:rPr>
        <w:t>organized</w:t>
      </w:r>
      <w:r w:rsidR="00D36FD3" w:rsidRPr="00B1350E">
        <w:rPr>
          <w:rFonts w:ascii="Arial" w:hAnsi="Arial" w:cs="Arial"/>
        </w:rPr>
        <w:t xml:space="preserve"> into focal areas that reflected the types of </w:t>
      </w:r>
      <w:r w:rsidR="00DB7945" w:rsidRPr="00B1350E">
        <w:rPr>
          <w:rFonts w:ascii="Arial" w:hAnsi="Arial" w:cs="Arial"/>
        </w:rPr>
        <w:t>library services</w:t>
      </w:r>
      <w:r w:rsidR="00B03857" w:rsidRPr="00B1350E">
        <w:rPr>
          <w:rFonts w:ascii="Arial" w:hAnsi="Arial" w:cs="Arial"/>
        </w:rPr>
        <w:t xml:space="preserve"> </w:t>
      </w:r>
      <w:r w:rsidR="00D36FD3" w:rsidRPr="00B1350E">
        <w:rPr>
          <w:rFonts w:ascii="Arial" w:hAnsi="Arial" w:cs="Arial"/>
        </w:rPr>
        <w:t xml:space="preserve">that SLAAs </w:t>
      </w:r>
      <w:r w:rsidR="006759E4" w:rsidRPr="00B1350E">
        <w:rPr>
          <w:rFonts w:ascii="Arial" w:hAnsi="Arial" w:cs="Arial"/>
        </w:rPr>
        <w:t>typically support</w:t>
      </w:r>
      <w:r w:rsidR="00D36FD3" w:rsidRPr="00B1350E">
        <w:rPr>
          <w:rFonts w:ascii="Arial" w:hAnsi="Arial" w:cs="Arial"/>
        </w:rPr>
        <w:t xml:space="preserve"> through Grants to States.  </w:t>
      </w:r>
    </w:p>
    <w:p w:rsidR="008925BF" w:rsidRDefault="008925BF" w:rsidP="00D36FD3">
      <w:pPr>
        <w:tabs>
          <w:tab w:val="left" w:pos="3996"/>
        </w:tabs>
        <w:spacing w:before="120" w:after="120" w:line="360" w:lineRule="auto"/>
        <w:rPr>
          <w:rFonts w:ascii="Arial" w:hAnsi="Arial" w:cs="Arial"/>
        </w:rPr>
      </w:pPr>
    </w:p>
    <w:p w:rsidR="00B82E5A" w:rsidRPr="00B82E5A" w:rsidRDefault="00B82E5A" w:rsidP="00D36FD3">
      <w:pPr>
        <w:tabs>
          <w:tab w:val="left" w:pos="3996"/>
        </w:tabs>
        <w:spacing w:before="120" w:after="120" w:line="360" w:lineRule="auto"/>
        <w:rPr>
          <w:rFonts w:ascii="Arial" w:hAnsi="Arial" w:cs="Arial"/>
          <w:b/>
          <w:i/>
          <w:u w:val="single"/>
        </w:rPr>
      </w:pPr>
      <w:r w:rsidRPr="00B82E5A">
        <w:rPr>
          <w:rFonts w:ascii="Arial" w:hAnsi="Arial" w:cs="Arial"/>
          <w:b/>
          <w:i/>
          <w:u w:val="single"/>
        </w:rPr>
        <w:t>Insert Table 2</w:t>
      </w:r>
    </w:p>
    <w:p w:rsidR="00B82E5A" w:rsidRPr="00B1350E" w:rsidRDefault="00B82E5A" w:rsidP="00D36FD3">
      <w:pPr>
        <w:tabs>
          <w:tab w:val="left" w:pos="3996"/>
        </w:tabs>
        <w:spacing w:before="120" w:after="120" w:line="360" w:lineRule="auto"/>
        <w:rPr>
          <w:rFonts w:ascii="Arial" w:hAnsi="Arial" w:cs="Arial"/>
        </w:rPr>
      </w:pPr>
    </w:p>
    <w:p w:rsidR="00D36FD3" w:rsidRPr="00B1350E" w:rsidRDefault="00D36FD3" w:rsidP="00D36FD3">
      <w:pPr>
        <w:tabs>
          <w:tab w:val="left" w:pos="1440"/>
        </w:tabs>
        <w:spacing w:before="120" w:after="120" w:line="360" w:lineRule="auto"/>
        <w:rPr>
          <w:rFonts w:ascii="Arial" w:hAnsi="Arial" w:cs="Arial"/>
        </w:rPr>
      </w:pPr>
      <w:r w:rsidRPr="00B1350E">
        <w:rPr>
          <w:rFonts w:ascii="Arial" w:hAnsi="Arial" w:cs="Arial"/>
        </w:rPr>
        <w:t xml:space="preserve">The technical advisors agreed on this </w:t>
      </w:r>
      <w:r w:rsidR="003D4225" w:rsidRPr="00B1350E">
        <w:rPr>
          <w:rFonts w:ascii="Arial" w:hAnsi="Arial" w:cs="Arial"/>
        </w:rPr>
        <w:t>classification scheme</w:t>
      </w:r>
      <w:r w:rsidRPr="00B1350E">
        <w:rPr>
          <w:rFonts w:ascii="Arial" w:hAnsi="Arial" w:cs="Arial"/>
        </w:rPr>
        <w:t xml:space="preserve"> and </w:t>
      </w:r>
      <w:r w:rsidR="00D13225" w:rsidRPr="00B1350E">
        <w:rPr>
          <w:rFonts w:ascii="Arial" w:hAnsi="Arial" w:cs="Arial"/>
        </w:rPr>
        <w:t>moved</w:t>
      </w:r>
      <w:r w:rsidRPr="00B1350E">
        <w:rPr>
          <w:rFonts w:ascii="Arial" w:hAnsi="Arial" w:cs="Arial"/>
        </w:rPr>
        <w:t xml:space="preserve"> to refine the </w:t>
      </w:r>
      <w:r w:rsidR="008925BF" w:rsidRPr="00B1350E">
        <w:rPr>
          <w:rFonts w:ascii="Arial" w:hAnsi="Arial" w:cs="Arial"/>
        </w:rPr>
        <w:t>original</w:t>
      </w:r>
      <w:r w:rsidR="008925BF">
        <w:rPr>
          <w:rFonts w:ascii="Arial" w:hAnsi="Arial" w:cs="Arial"/>
        </w:rPr>
        <w:t xml:space="preserve"> </w:t>
      </w:r>
      <w:r w:rsidRPr="00B1350E">
        <w:rPr>
          <w:rFonts w:ascii="Arial" w:hAnsi="Arial" w:cs="Arial"/>
        </w:rPr>
        <w:t xml:space="preserve">results chains </w:t>
      </w:r>
      <w:r w:rsidR="00DB7945" w:rsidRPr="00B1350E">
        <w:rPr>
          <w:rFonts w:ascii="Arial" w:hAnsi="Arial" w:cs="Arial"/>
        </w:rPr>
        <w:t xml:space="preserve">better </w:t>
      </w:r>
      <w:r w:rsidR="008925BF">
        <w:rPr>
          <w:rFonts w:ascii="Arial" w:hAnsi="Arial" w:cs="Arial"/>
        </w:rPr>
        <w:t xml:space="preserve">to </w:t>
      </w:r>
      <w:r w:rsidR="00651AE7" w:rsidRPr="00B1350E">
        <w:rPr>
          <w:rFonts w:ascii="Arial" w:hAnsi="Arial" w:cs="Arial"/>
        </w:rPr>
        <w:t>delineate</w:t>
      </w:r>
      <w:r w:rsidR="00DB7945" w:rsidRPr="00B1350E">
        <w:rPr>
          <w:rFonts w:ascii="Arial" w:hAnsi="Arial" w:cs="Arial"/>
        </w:rPr>
        <w:t xml:space="preserve"> steps in the social network that lead to desired changes in different segments of the public (i.e., users)</w:t>
      </w:r>
      <w:r w:rsidRPr="00B1350E">
        <w:rPr>
          <w:rFonts w:ascii="Arial" w:hAnsi="Arial" w:cs="Arial"/>
        </w:rPr>
        <w:t xml:space="preserve">.  </w:t>
      </w:r>
      <w:r w:rsidR="00DB7945" w:rsidRPr="00B1350E">
        <w:rPr>
          <w:rFonts w:ascii="Arial" w:hAnsi="Arial" w:cs="Arial"/>
        </w:rPr>
        <w:t xml:space="preserve">Ultimately, </w:t>
      </w:r>
      <w:r w:rsidR="008925BF" w:rsidRPr="00B1350E">
        <w:rPr>
          <w:rFonts w:ascii="Arial" w:hAnsi="Arial" w:cs="Arial"/>
        </w:rPr>
        <w:t xml:space="preserve">consensus emerged that </w:t>
      </w:r>
      <w:r w:rsidR="00DB7945" w:rsidRPr="00B1350E">
        <w:rPr>
          <w:rFonts w:ascii="Arial" w:hAnsi="Arial" w:cs="Arial"/>
        </w:rPr>
        <w:t>staff and leadership development was</w:t>
      </w:r>
      <w:r w:rsidR="008925BF">
        <w:rPr>
          <w:rFonts w:ascii="Arial" w:hAnsi="Arial" w:cs="Arial"/>
        </w:rPr>
        <w:t xml:space="preserve"> best</w:t>
      </w:r>
      <w:r w:rsidR="00DB7945" w:rsidRPr="00B1350E">
        <w:rPr>
          <w:rFonts w:ascii="Arial" w:hAnsi="Arial" w:cs="Arial"/>
        </w:rPr>
        <w:t xml:space="preserve"> integrated into results chains for </w:t>
      </w:r>
      <w:r w:rsidR="00DA3B6E">
        <w:rPr>
          <w:rFonts w:ascii="Arial" w:hAnsi="Arial" w:cs="Arial"/>
        </w:rPr>
        <w:t>the other</w:t>
      </w:r>
      <w:r w:rsidR="008925BF">
        <w:rPr>
          <w:rFonts w:ascii="Arial" w:hAnsi="Arial" w:cs="Arial"/>
        </w:rPr>
        <w:t xml:space="preserve"> </w:t>
      </w:r>
      <w:r w:rsidR="00DB7945" w:rsidRPr="00B1350E">
        <w:rPr>
          <w:rFonts w:ascii="Arial" w:hAnsi="Arial" w:cs="Arial"/>
        </w:rPr>
        <w:t xml:space="preserve">focal areas </w:t>
      </w:r>
      <w:r w:rsidR="008925BF">
        <w:rPr>
          <w:rFonts w:ascii="Arial" w:hAnsi="Arial" w:cs="Arial"/>
        </w:rPr>
        <w:t>and</w:t>
      </w:r>
      <w:r w:rsidR="00DB7945" w:rsidRPr="00B1350E">
        <w:rPr>
          <w:rFonts w:ascii="Arial" w:hAnsi="Arial" w:cs="Arial"/>
        </w:rPr>
        <w:t xml:space="preserve"> best viewed as in interim outcome.</w:t>
      </w:r>
      <w:r w:rsidR="003D4225" w:rsidRPr="00B1350E">
        <w:rPr>
          <w:rFonts w:ascii="Arial" w:hAnsi="Arial" w:cs="Arial"/>
        </w:rPr>
        <w:t xml:space="preserve"> </w:t>
      </w:r>
    </w:p>
    <w:p w:rsidR="00AB7D3C" w:rsidRPr="00B1350E" w:rsidRDefault="00D36FD3" w:rsidP="009D291F">
      <w:pPr>
        <w:tabs>
          <w:tab w:val="left" w:pos="3996"/>
        </w:tabs>
        <w:spacing w:before="120" w:after="120" w:line="360" w:lineRule="auto"/>
        <w:rPr>
          <w:rFonts w:ascii="Arial" w:hAnsi="Arial" w:cs="Arial"/>
        </w:rPr>
      </w:pPr>
      <w:r w:rsidRPr="00B1350E">
        <w:rPr>
          <w:rFonts w:ascii="Arial" w:hAnsi="Arial" w:cs="Arial"/>
        </w:rPr>
        <w:lastRenderedPageBreak/>
        <w:t xml:space="preserve">As the teams </w:t>
      </w:r>
      <w:r w:rsidR="008E709F">
        <w:rPr>
          <w:rFonts w:ascii="Arial" w:hAnsi="Arial" w:cs="Arial"/>
        </w:rPr>
        <w:t xml:space="preserve">further </w:t>
      </w:r>
      <w:r w:rsidRPr="00B1350E">
        <w:rPr>
          <w:rFonts w:ascii="Arial" w:hAnsi="Arial" w:cs="Arial"/>
        </w:rPr>
        <w:t>refined the results chains by focal areas, t</w:t>
      </w:r>
      <w:r w:rsidR="00290D74" w:rsidRPr="00B1350E">
        <w:rPr>
          <w:rFonts w:ascii="Arial" w:hAnsi="Arial" w:cs="Arial"/>
        </w:rPr>
        <w:t>hey</w:t>
      </w:r>
      <w:r w:rsidR="00D36226" w:rsidRPr="00B1350E">
        <w:rPr>
          <w:rFonts w:ascii="Arial" w:hAnsi="Arial" w:cs="Arial"/>
        </w:rPr>
        <w:t xml:space="preserve"> </w:t>
      </w:r>
      <w:r w:rsidR="00290D74" w:rsidRPr="00B1350E">
        <w:rPr>
          <w:rFonts w:ascii="Arial" w:hAnsi="Arial" w:cs="Arial"/>
        </w:rPr>
        <w:t>implicitly</w:t>
      </w:r>
      <w:r w:rsidR="00AB7D3C" w:rsidRPr="00B1350E">
        <w:rPr>
          <w:rFonts w:ascii="Arial" w:hAnsi="Arial" w:cs="Arial"/>
        </w:rPr>
        <w:t xml:space="preserve"> agreed to </w:t>
      </w:r>
      <w:r w:rsidR="00290D74" w:rsidRPr="00B1350E">
        <w:rPr>
          <w:rFonts w:ascii="Arial" w:hAnsi="Arial" w:cs="Arial"/>
        </w:rPr>
        <w:t xml:space="preserve">an </w:t>
      </w:r>
      <w:r w:rsidR="00AB7D3C" w:rsidRPr="00B1350E">
        <w:rPr>
          <w:rFonts w:ascii="Arial" w:hAnsi="Arial" w:cs="Arial"/>
        </w:rPr>
        <w:t xml:space="preserve">emerging theory of change for informal </w:t>
      </w:r>
      <w:r w:rsidR="006759E4" w:rsidRPr="00B1350E">
        <w:rPr>
          <w:rFonts w:ascii="Arial" w:hAnsi="Arial" w:cs="Arial"/>
        </w:rPr>
        <w:t>learning as</w:t>
      </w:r>
      <w:r w:rsidR="00AB7D3C" w:rsidRPr="00B1350E">
        <w:rPr>
          <w:rFonts w:ascii="Arial" w:hAnsi="Arial" w:cs="Arial"/>
        </w:rPr>
        <w:t xml:space="preserve"> summarized in Figure</w:t>
      </w:r>
      <w:r w:rsidR="008E709F">
        <w:rPr>
          <w:rFonts w:ascii="Arial" w:hAnsi="Arial" w:cs="Arial"/>
        </w:rPr>
        <w:t xml:space="preserve"> 1.</w:t>
      </w:r>
      <w:r w:rsidR="00874A28" w:rsidRPr="00B1350E">
        <w:rPr>
          <w:rFonts w:ascii="Arial" w:hAnsi="Arial" w:cs="Arial"/>
        </w:rPr>
        <w:t>5.</w:t>
      </w:r>
    </w:p>
    <w:p w:rsidR="00AB7D3C" w:rsidRPr="00B1350E" w:rsidRDefault="00AB7D3C" w:rsidP="008D59F8">
      <w:pPr>
        <w:tabs>
          <w:tab w:val="left" w:pos="1440"/>
        </w:tabs>
        <w:spacing w:before="120" w:after="120" w:line="360" w:lineRule="auto"/>
        <w:rPr>
          <w:rFonts w:ascii="Arial" w:hAnsi="Arial" w:cs="Arial"/>
        </w:rPr>
      </w:pPr>
    </w:p>
    <w:p w:rsidR="00AB7D3C" w:rsidRDefault="008E709F" w:rsidP="008D59F8">
      <w:pPr>
        <w:tabs>
          <w:tab w:val="left" w:pos="1440"/>
        </w:tabs>
        <w:spacing w:before="120" w:after="120" w:line="360" w:lineRule="auto"/>
        <w:rPr>
          <w:rFonts w:ascii="Arial" w:hAnsi="Arial" w:cs="Arial"/>
          <w:b/>
          <w:i/>
          <w:u w:val="single"/>
        </w:rPr>
      </w:pPr>
      <w:r w:rsidRPr="008E709F">
        <w:rPr>
          <w:rFonts w:ascii="Arial" w:hAnsi="Arial" w:cs="Arial"/>
          <w:b/>
          <w:i/>
          <w:u w:val="single"/>
        </w:rPr>
        <w:t>Insert Figure 1.5.</w:t>
      </w:r>
    </w:p>
    <w:p w:rsidR="008E709F" w:rsidRPr="008E709F" w:rsidRDefault="008E709F" w:rsidP="008D59F8">
      <w:pPr>
        <w:tabs>
          <w:tab w:val="left" w:pos="1440"/>
        </w:tabs>
        <w:spacing w:before="120" w:after="120" w:line="360" w:lineRule="auto"/>
        <w:rPr>
          <w:rFonts w:ascii="Arial" w:hAnsi="Arial" w:cs="Arial"/>
          <w:b/>
          <w:i/>
          <w:u w:val="single"/>
        </w:rPr>
      </w:pPr>
    </w:p>
    <w:p w:rsidR="000E4D43" w:rsidRPr="00B1350E" w:rsidRDefault="008E709F" w:rsidP="000E4D43">
      <w:pPr>
        <w:pStyle w:val="Body1"/>
        <w:spacing w:before="100" w:beforeAutospacing="1" w:after="100" w:afterAutospacing="1" w:line="360" w:lineRule="auto"/>
        <w:rPr>
          <w:rFonts w:ascii="Arial" w:hAnsi="Arial" w:cs="Arial"/>
          <w:sz w:val="24"/>
          <w:szCs w:val="24"/>
        </w:rPr>
      </w:pPr>
      <w:r>
        <w:rPr>
          <w:rFonts w:ascii="Arial" w:hAnsi="Arial" w:cs="Arial"/>
          <w:sz w:val="24"/>
          <w:szCs w:val="24"/>
        </w:rPr>
        <w:t>A</w:t>
      </w:r>
      <w:r w:rsidR="000E4D43" w:rsidRPr="00B1350E">
        <w:rPr>
          <w:rFonts w:ascii="Arial" w:hAnsi="Arial" w:cs="Arial"/>
          <w:sz w:val="24"/>
          <w:szCs w:val="24"/>
        </w:rPr>
        <w:t xml:space="preserve">s seen in </w:t>
      </w:r>
      <w:r w:rsidR="003D4225" w:rsidRPr="00B1350E">
        <w:rPr>
          <w:rFonts w:ascii="Arial" w:hAnsi="Arial" w:cs="Arial"/>
          <w:sz w:val="24"/>
          <w:szCs w:val="24"/>
        </w:rPr>
        <w:t>th</w:t>
      </w:r>
      <w:r>
        <w:rPr>
          <w:rFonts w:ascii="Arial" w:hAnsi="Arial" w:cs="Arial"/>
          <w:sz w:val="24"/>
          <w:szCs w:val="24"/>
        </w:rPr>
        <w:t>is</w:t>
      </w:r>
      <w:r w:rsidR="003D4225" w:rsidRPr="00B1350E">
        <w:rPr>
          <w:rFonts w:ascii="Arial" w:hAnsi="Arial" w:cs="Arial"/>
          <w:sz w:val="24"/>
          <w:szCs w:val="24"/>
        </w:rPr>
        <w:t xml:space="preserve"> f</w:t>
      </w:r>
      <w:r w:rsidR="000E4D43" w:rsidRPr="00B1350E">
        <w:rPr>
          <w:rFonts w:ascii="Arial" w:hAnsi="Arial" w:cs="Arial"/>
          <w:sz w:val="24"/>
          <w:szCs w:val="24"/>
        </w:rPr>
        <w:t xml:space="preserve">igure, program </w:t>
      </w:r>
      <w:r w:rsidR="004B764F" w:rsidRPr="00B1350E">
        <w:rPr>
          <w:rFonts w:ascii="Arial" w:hAnsi="Arial" w:cs="Arial"/>
          <w:sz w:val="24"/>
          <w:szCs w:val="24"/>
        </w:rPr>
        <w:t>staff make</w:t>
      </w:r>
      <w:r w:rsidR="00DA3B6E">
        <w:rPr>
          <w:rFonts w:ascii="Arial" w:hAnsi="Arial" w:cs="Arial"/>
          <w:sz w:val="24"/>
          <w:szCs w:val="24"/>
        </w:rPr>
        <w:t>s</w:t>
      </w:r>
      <w:r w:rsidR="000E4D43" w:rsidRPr="00B1350E">
        <w:rPr>
          <w:rFonts w:ascii="Arial" w:hAnsi="Arial" w:cs="Arial"/>
          <w:sz w:val="24"/>
          <w:szCs w:val="24"/>
        </w:rPr>
        <w:t xml:space="preserve"> initial assessments of the potential target public in </w:t>
      </w:r>
      <w:r>
        <w:rPr>
          <w:rFonts w:ascii="Arial" w:hAnsi="Arial" w:cs="Arial"/>
          <w:sz w:val="24"/>
          <w:szCs w:val="24"/>
        </w:rPr>
        <w:t>a</w:t>
      </w:r>
      <w:r w:rsidR="000E4D43" w:rsidRPr="00B1350E">
        <w:rPr>
          <w:rFonts w:ascii="Arial" w:hAnsi="Arial" w:cs="Arial"/>
          <w:sz w:val="24"/>
          <w:szCs w:val="24"/>
        </w:rPr>
        <w:t xml:space="preserve"> community or catchment area.  These assessments include not only the types of learning that can benefit specific segments of the public</w:t>
      </w:r>
      <w:r>
        <w:rPr>
          <w:rFonts w:ascii="Arial" w:hAnsi="Arial" w:cs="Arial"/>
          <w:sz w:val="24"/>
          <w:szCs w:val="24"/>
        </w:rPr>
        <w:t>,</w:t>
      </w:r>
      <w:r w:rsidR="000E4D43" w:rsidRPr="00B1350E">
        <w:rPr>
          <w:rFonts w:ascii="Arial" w:hAnsi="Arial" w:cs="Arial"/>
          <w:sz w:val="24"/>
          <w:szCs w:val="24"/>
        </w:rPr>
        <w:t xml:space="preserve"> but also external opportunities and barriers that are likely to influence public participation </w:t>
      </w:r>
      <w:r w:rsidR="00DA3B6E">
        <w:rPr>
          <w:rFonts w:ascii="Arial" w:hAnsi="Arial" w:cs="Arial"/>
          <w:sz w:val="24"/>
          <w:szCs w:val="24"/>
        </w:rPr>
        <w:t>i</w:t>
      </w:r>
      <w:r w:rsidR="000E4D43" w:rsidRPr="00B1350E">
        <w:rPr>
          <w:rFonts w:ascii="Arial" w:hAnsi="Arial" w:cs="Arial"/>
          <w:sz w:val="24"/>
          <w:szCs w:val="24"/>
        </w:rPr>
        <w:t xml:space="preserve">n the informal learning opportunity.  Following assessment, efforts are made to directly enable informal learning for individuals and to address indirect opportunities and barriers that may influence the ability and/or desire to access an identified body of knowledge.  </w:t>
      </w:r>
      <w:r w:rsidR="003D4225" w:rsidRPr="00B1350E">
        <w:rPr>
          <w:rFonts w:ascii="Arial" w:hAnsi="Arial" w:cs="Arial"/>
          <w:sz w:val="24"/>
          <w:szCs w:val="24"/>
        </w:rPr>
        <w:t xml:space="preserve">In inducing </w:t>
      </w:r>
      <w:r w:rsidR="000E4D43" w:rsidRPr="00B1350E">
        <w:rPr>
          <w:rFonts w:ascii="Arial" w:hAnsi="Arial" w:cs="Arial"/>
          <w:sz w:val="24"/>
          <w:szCs w:val="24"/>
        </w:rPr>
        <w:t xml:space="preserve">individuals </w:t>
      </w:r>
      <w:r w:rsidR="003D4225" w:rsidRPr="00B1350E">
        <w:rPr>
          <w:rFonts w:ascii="Arial" w:hAnsi="Arial" w:cs="Arial"/>
          <w:sz w:val="24"/>
          <w:szCs w:val="24"/>
        </w:rPr>
        <w:t xml:space="preserve">to </w:t>
      </w:r>
      <w:r w:rsidR="000E4D43" w:rsidRPr="00B1350E">
        <w:rPr>
          <w:rFonts w:ascii="Arial" w:hAnsi="Arial" w:cs="Arial"/>
          <w:sz w:val="24"/>
          <w:szCs w:val="24"/>
        </w:rPr>
        <w:t>participat</w:t>
      </w:r>
      <w:r w:rsidR="003D4225" w:rsidRPr="00B1350E">
        <w:rPr>
          <w:rFonts w:ascii="Arial" w:hAnsi="Arial" w:cs="Arial"/>
          <w:sz w:val="24"/>
          <w:szCs w:val="24"/>
        </w:rPr>
        <w:t>e</w:t>
      </w:r>
      <w:r w:rsidR="000E4D43" w:rsidRPr="00B1350E">
        <w:rPr>
          <w:rFonts w:ascii="Arial" w:hAnsi="Arial" w:cs="Arial"/>
          <w:sz w:val="24"/>
          <w:szCs w:val="24"/>
        </w:rPr>
        <w:t xml:space="preserve"> in</w:t>
      </w:r>
      <w:r>
        <w:rPr>
          <w:rFonts w:ascii="Arial" w:hAnsi="Arial" w:cs="Arial"/>
          <w:sz w:val="24"/>
          <w:szCs w:val="24"/>
        </w:rPr>
        <w:t xml:space="preserve"> a</w:t>
      </w:r>
      <w:r w:rsidR="000E4D43" w:rsidRPr="00B1350E">
        <w:rPr>
          <w:rFonts w:ascii="Arial" w:hAnsi="Arial" w:cs="Arial"/>
          <w:sz w:val="24"/>
          <w:szCs w:val="24"/>
        </w:rPr>
        <w:t xml:space="preserve"> library’s learning program, </w:t>
      </w:r>
      <w:r w:rsidR="004B764F" w:rsidRPr="00B1350E">
        <w:rPr>
          <w:rFonts w:ascii="Arial" w:hAnsi="Arial" w:cs="Arial"/>
          <w:sz w:val="24"/>
          <w:szCs w:val="24"/>
        </w:rPr>
        <w:t>attention</w:t>
      </w:r>
      <w:r w:rsidR="003D4225" w:rsidRPr="00B1350E">
        <w:rPr>
          <w:rFonts w:ascii="Arial" w:hAnsi="Arial" w:cs="Arial"/>
          <w:sz w:val="24"/>
          <w:szCs w:val="24"/>
        </w:rPr>
        <w:t xml:space="preserve"> </w:t>
      </w:r>
      <w:r w:rsidR="004B764F" w:rsidRPr="00B1350E">
        <w:rPr>
          <w:rFonts w:ascii="Arial" w:hAnsi="Arial" w:cs="Arial"/>
          <w:sz w:val="24"/>
          <w:szCs w:val="24"/>
        </w:rPr>
        <w:t>is focused</w:t>
      </w:r>
      <w:r w:rsidR="003D4225" w:rsidRPr="00B1350E">
        <w:rPr>
          <w:rFonts w:ascii="Arial" w:hAnsi="Arial" w:cs="Arial"/>
          <w:sz w:val="24"/>
          <w:szCs w:val="24"/>
        </w:rPr>
        <w:t xml:space="preserve"> on capturing</w:t>
      </w:r>
      <w:r w:rsidR="000E4D43" w:rsidRPr="00B1350E">
        <w:rPr>
          <w:rFonts w:ascii="Arial" w:hAnsi="Arial" w:cs="Arial"/>
          <w:sz w:val="24"/>
          <w:szCs w:val="24"/>
        </w:rPr>
        <w:t xml:space="preserve"> external opportunities and barriers</w:t>
      </w:r>
      <w:r w:rsidR="00D61688">
        <w:rPr>
          <w:rFonts w:ascii="Arial" w:hAnsi="Arial" w:cs="Arial"/>
          <w:sz w:val="24"/>
          <w:szCs w:val="24"/>
        </w:rPr>
        <w:t xml:space="preserve"> through incentives</w:t>
      </w:r>
      <w:r w:rsidR="000E4D43" w:rsidRPr="00B1350E">
        <w:rPr>
          <w:rFonts w:ascii="Arial" w:hAnsi="Arial" w:cs="Arial"/>
          <w:sz w:val="24"/>
          <w:szCs w:val="24"/>
        </w:rPr>
        <w:t xml:space="preserve">. </w:t>
      </w:r>
      <w:r>
        <w:rPr>
          <w:rFonts w:ascii="Arial" w:hAnsi="Arial" w:cs="Arial"/>
          <w:sz w:val="24"/>
          <w:szCs w:val="24"/>
        </w:rPr>
        <w:t xml:space="preserve"> </w:t>
      </w:r>
      <w:r w:rsidR="000E4D43" w:rsidRPr="00B1350E">
        <w:rPr>
          <w:rFonts w:ascii="Arial" w:hAnsi="Arial" w:cs="Arial"/>
          <w:sz w:val="24"/>
          <w:szCs w:val="24"/>
        </w:rPr>
        <w:t xml:space="preserve">Finally, assuming satisfactory experience and effective incentives, the theory assumes </w:t>
      </w:r>
      <w:r w:rsidR="003D4225" w:rsidRPr="00B1350E">
        <w:rPr>
          <w:rFonts w:ascii="Arial" w:hAnsi="Arial" w:cs="Arial"/>
          <w:sz w:val="24"/>
          <w:szCs w:val="24"/>
        </w:rPr>
        <w:t xml:space="preserve">initial </w:t>
      </w:r>
      <w:r>
        <w:rPr>
          <w:rFonts w:ascii="Arial" w:hAnsi="Arial" w:cs="Arial"/>
          <w:sz w:val="24"/>
          <w:szCs w:val="24"/>
        </w:rPr>
        <w:t>target users</w:t>
      </w:r>
      <w:r w:rsidR="000E4D43" w:rsidRPr="00B1350E">
        <w:rPr>
          <w:rFonts w:ascii="Arial" w:hAnsi="Arial" w:cs="Arial"/>
          <w:sz w:val="24"/>
          <w:szCs w:val="24"/>
        </w:rPr>
        <w:t xml:space="preserve"> will share their experience with others</w:t>
      </w:r>
      <w:r w:rsidR="00DA3B6E">
        <w:rPr>
          <w:rFonts w:ascii="Arial" w:hAnsi="Arial" w:cs="Arial"/>
          <w:sz w:val="24"/>
          <w:szCs w:val="24"/>
        </w:rPr>
        <w:t>.</w:t>
      </w:r>
      <w:r w:rsidR="000F4E2F" w:rsidRPr="00B1350E">
        <w:rPr>
          <w:rFonts w:ascii="Arial" w:hAnsi="Arial" w:cs="Arial"/>
          <w:sz w:val="24"/>
          <w:szCs w:val="24"/>
        </w:rPr>
        <w:t xml:space="preserve">  T</w:t>
      </w:r>
      <w:r w:rsidR="000E4D43" w:rsidRPr="00B1350E">
        <w:rPr>
          <w:rFonts w:ascii="Arial" w:hAnsi="Arial" w:cs="Arial"/>
          <w:sz w:val="24"/>
          <w:szCs w:val="24"/>
        </w:rPr>
        <w:t>h</w:t>
      </w:r>
      <w:r w:rsidR="000F4E2F" w:rsidRPr="00B1350E">
        <w:rPr>
          <w:rFonts w:ascii="Arial" w:hAnsi="Arial" w:cs="Arial"/>
          <w:sz w:val="24"/>
          <w:szCs w:val="24"/>
        </w:rPr>
        <w:t>e</w:t>
      </w:r>
      <w:r w:rsidR="000E4D43" w:rsidRPr="00B1350E">
        <w:rPr>
          <w:rFonts w:ascii="Arial" w:hAnsi="Arial" w:cs="Arial"/>
          <w:sz w:val="24"/>
          <w:szCs w:val="24"/>
        </w:rPr>
        <w:t>se other</w:t>
      </w:r>
      <w:r w:rsidR="00DA3B6E">
        <w:rPr>
          <w:rFonts w:ascii="Arial" w:hAnsi="Arial" w:cs="Arial"/>
          <w:sz w:val="24"/>
          <w:szCs w:val="24"/>
        </w:rPr>
        <w:t xml:space="preserve"> user</w:t>
      </w:r>
      <w:r w:rsidR="000E4D43" w:rsidRPr="00B1350E">
        <w:rPr>
          <w:rFonts w:ascii="Arial" w:hAnsi="Arial" w:cs="Arial"/>
          <w:sz w:val="24"/>
          <w:szCs w:val="24"/>
        </w:rPr>
        <w:t>s w</w:t>
      </w:r>
      <w:r w:rsidR="00DA3B6E">
        <w:rPr>
          <w:rFonts w:ascii="Arial" w:hAnsi="Arial" w:cs="Arial"/>
          <w:sz w:val="24"/>
          <w:szCs w:val="24"/>
        </w:rPr>
        <w:t>ould</w:t>
      </w:r>
      <w:r w:rsidR="000E4D43" w:rsidRPr="00B1350E">
        <w:rPr>
          <w:rFonts w:ascii="Arial" w:hAnsi="Arial" w:cs="Arial"/>
          <w:sz w:val="24"/>
          <w:szCs w:val="24"/>
        </w:rPr>
        <w:t xml:space="preserve"> adopt the same </w:t>
      </w:r>
      <w:r w:rsidR="00DA3B6E">
        <w:rPr>
          <w:rFonts w:ascii="Arial" w:hAnsi="Arial" w:cs="Arial"/>
          <w:sz w:val="24"/>
          <w:szCs w:val="24"/>
        </w:rPr>
        <w:t>benefits acquired by the target users</w:t>
      </w:r>
      <w:r w:rsidR="000E4D43" w:rsidRPr="00B1350E">
        <w:rPr>
          <w:rFonts w:ascii="Arial" w:hAnsi="Arial" w:cs="Arial"/>
          <w:sz w:val="24"/>
          <w:szCs w:val="24"/>
        </w:rPr>
        <w:t xml:space="preserve"> through diffusion</w:t>
      </w:r>
      <w:r w:rsidR="006759E4" w:rsidRPr="00B1350E">
        <w:rPr>
          <w:rFonts w:ascii="Arial" w:hAnsi="Arial" w:cs="Arial"/>
          <w:sz w:val="24"/>
          <w:szCs w:val="24"/>
        </w:rPr>
        <w:t>.</w:t>
      </w:r>
      <w:r w:rsidR="000E4D43" w:rsidRPr="00B1350E">
        <w:rPr>
          <w:rFonts w:ascii="Arial" w:hAnsi="Arial" w:cs="Arial"/>
          <w:sz w:val="24"/>
          <w:szCs w:val="24"/>
        </w:rPr>
        <w:t xml:space="preserve"> </w:t>
      </w:r>
      <w:r w:rsidR="00EA3706" w:rsidRPr="00B1350E">
        <w:rPr>
          <w:rFonts w:ascii="Arial" w:hAnsi="Arial" w:cs="Arial"/>
          <w:sz w:val="24"/>
          <w:szCs w:val="24"/>
        </w:rPr>
        <w:t xml:space="preserve">The one complexity not illustrated in Figure </w:t>
      </w:r>
      <w:r w:rsidR="00DA3B6E">
        <w:rPr>
          <w:rFonts w:ascii="Arial" w:hAnsi="Arial" w:cs="Arial"/>
          <w:sz w:val="24"/>
          <w:szCs w:val="24"/>
        </w:rPr>
        <w:t xml:space="preserve">1.5 </w:t>
      </w:r>
      <w:r w:rsidR="001F45DF" w:rsidRPr="00B1350E">
        <w:rPr>
          <w:rFonts w:ascii="Arial" w:hAnsi="Arial" w:cs="Arial"/>
          <w:sz w:val="24"/>
          <w:szCs w:val="24"/>
        </w:rPr>
        <w:t>concerns</w:t>
      </w:r>
      <w:r w:rsidR="00EA3706" w:rsidRPr="00B1350E">
        <w:rPr>
          <w:rFonts w:ascii="Arial" w:hAnsi="Arial" w:cs="Arial"/>
          <w:sz w:val="24"/>
          <w:szCs w:val="24"/>
        </w:rPr>
        <w:t xml:space="preserve"> that </w:t>
      </w:r>
      <w:r w:rsidR="00DA3B6E">
        <w:rPr>
          <w:rFonts w:ascii="Arial" w:hAnsi="Arial" w:cs="Arial"/>
          <w:sz w:val="24"/>
          <w:szCs w:val="24"/>
        </w:rPr>
        <w:t xml:space="preserve">this programmatic </w:t>
      </w:r>
      <w:r w:rsidR="00EA3706" w:rsidRPr="00B1350E">
        <w:rPr>
          <w:rFonts w:ascii="Arial" w:hAnsi="Arial" w:cs="Arial"/>
          <w:sz w:val="24"/>
          <w:szCs w:val="24"/>
        </w:rPr>
        <w:t>action operates through a social network that interrelates an SLAA, public libraries, other potential partners, and a suite of distinct user groups</w:t>
      </w:r>
      <w:r w:rsidR="00DA3B6E">
        <w:rPr>
          <w:rFonts w:ascii="Arial" w:hAnsi="Arial" w:cs="Arial"/>
          <w:sz w:val="24"/>
          <w:szCs w:val="24"/>
        </w:rPr>
        <w:t>.</w:t>
      </w:r>
    </w:p>
    <w:p w:rsidR="00EB7CA9" w:rsidRPr="00B1350E" w:rsidRDefault="00EB7CA9" w:rsidP="000E4D43">
      <w:pPr>
        <w:pStyle w:val="Body1"/>
        <w:spacing w:before="100" w:beforeAutospacing="1" w:after="100" w:afterAutospacing="1" w:line="360" w:lineRule="auto"/>
        <w:rPr>
          <w:rFonts w:ascii="Arial" w:hAnsi="Arial" w:cs="Arial"/>
          <w:sz w:val="24"/>
          <w:szCs w:val="24"/>
        </w:rPr>
      </w:pPr>
      <w:r w:rsidRPr="00B1350E">
        <w:rPr>
          <w:rFonts w:ascii="Arial" w:hAnsi="Arial" w:cs="Arial"/>
          <w:sz w:val="24"/>
          <w:szCs w:val="24"/>
        </w:rPr>
        <w:t xml:space="preserve">The emerging theory </w:t>
      </w:r>
      <w:r w:rsidR="000C0D88">
        <w:rPr>
          <w:rFonts w:ascii="Arial" w:hAnsi="Arial" w:cs="Arial"/>
          <w:sz w:val="24"/>
          <w:szCs w:val="24"/>
        </w:rPr>
        <w:t xml:space="preserve">of change </w:t>
      </w:r>
      <w:r w:rsidRPr="00B1350E">
        <w:rPr>
          <w:rFonts w:ascii="Arial" w:hAnsi="Arial" w:cs="Arial"/>
          <w:sz w:val="24"/>
          <w:szCs w:val="24"/>
        </w:rPr>
        <w:t xml:space="preserve">moved </w:t>
      </w:r>
      <w:r w:rsidR="00D36FD3" w:rsidRPr="00B1350E">
        <w:rPr>
          <w:rFonts w:ascii="Arial" w:hAnsi="Arial" w:cs="Arial"/>
          <w:sz w:val="24"/>
          <w:szCs w:val="24"/>
        </w:rPr>
        <w:t xml:space="preserve">participants </w:t>
      </w:r>
      <w:r w:rsidRPr="00B1350E">
        <w:rPr>
          <w:rFonts w:ascii="Arial" w:hAnsi="Arial" w:cs="Arial"/>
          <w:sz w:val="24"/>
          <w:szCs w:val="24"/>
        </w:rPr>
        <w:t xml:space="preserve">away from both KAB and diffusion theory in making the causal link from acquiring knowledge to its subsequent application. As seen in Figure </w:t>
      </w:r>
      <w:r w:rsidR="008E709F">
        <w:rPr>
          <w:rFonts w:ascii="Arial" w:hAnsi="Arial" w:cs="Arial"/>
          <w:sz w:val="24"/>
          <w:szCs w:val="24"/>
        </w:rPr>
        <w:t>1.</w:t>
      </w:r>
      <w:r w:rsidR="00EA3706" w:rsidRPr="00B1350E">
        <w:rPr>
          <w:rFonts w:ascii="Arial" w:hAnsi="Arial" w:cs="Arial"/>
          <w:sz w:val="24"/>
          <w:szCs w:val="24"/>
        </w:rPr>
        <w:t>5</w:t>
      </w:r>
      <w:r w:rsidRPr="00B1350E">
        <w:rPr>
          <w:rFonts w:ascii="Arial" w:hAnsi="Arial" w:cs="Arial"/>
          <w:sz w:val="24"/>
          <w:szCs w:val="24"/>
        </w:rPr>
        <w:t xml:space="preserve">, causality </w:t>
      </w:r>
      <w:r w:rsidR="008E709F">
        <w:rPr>
          <w:rFonts w:ascii="Arial" w:hAnsi="Arial" w:cs="Arial"/>
          <w:sz w:val="24"/>
          <w:szCs w:val="24"/>
        </w:rPr>
        <w:t>i</w:t>
      </w:r>
      <w:r w:rsidRPr="00B1350E">
        <w:rPr>
          <w:rFonts w:ascii="Arial" w:hAnsi="Arial" w:cs="Arial"/>
          <w:sz w:val="24"/>
          <w:szCs w:val="24"/>
        </w:rPr>
        <w:t>s embedded in capturing exte</w:t>
      </w:r>
      <w:r w:rsidR="00DA3B6E">
        <w:rPr>
          <w:rFonts w:ascii="Arial" w:hAnsi="Arial" w:cs="Arial"/>
          <w:sz w:val="24"/>
          <w:szCs w:val="24"/>
        </w:rPr>
        <w:t>rnal opportunities or threats</w:t>
      </w:r>
      <w:r w:rsidR="00D61688">
        <w:rPr>
          <w:rFonts w:ascii="Arial" w:hAnsi="Arial" w:cs="Arial"/>
          <w:sz w:val="24"/>
          <w:szCs w:val="24"/>
        </w:rPr>
        <w:t xml:space="preserve"> as the program interacts with the users</w:t>
      </w:r>
      <w:r w:rsidR="00DA3B6E">
        <w:rPr>
          <w:rFonts w:ascii="Arial" w:hAnsi="Arial" w:cs="Arial"/>
          <w:sz w:val="24"/>
          <w:szCs w:val="24"/>
        </w:rPr>
        <w:t xml:space="preserve">.  In practical terms, capturing these opportunities and threats involve applying appropriate incentives such as </w:t>
      </w:r>
      <w:r w:rsidR="00C70744">
        <w:rPr>
          <w:rFonts w:ascii="Arial" w:hAnsi="Arial" w:cs="Arial"/>
          <w:sz w:val="24"/>
          <w:szCs w:val="24"/>
        </w:rPr>
        <w:t xml:space="preserve">social media innovations or, say, addressing childcare constraints. </w:t>
      </w:r>
      <w:r w:rsidRPr="00B1350E">
        <w:rPr>
          <w:rFonts w:ascii="Arial" w:hAnsi="Arial" w:cs="Arial"/>
          <w:sz w:val="24"/>
          <w:szCs w:val="24"/>
        </w:rPr>
        <w:t xml:space="preserve">This </w:t>
      </w:r>
      <w:r w:rsidR="003D4225" w:rsidRPr="00B1350E">
        <w:rPr>
          <w:rFonts w:ascii="Arial" w:hAnsi="Arial" w:cs="Arial"/>
          <w:sz w:val="24"/>
          <w:szCs w:val="24"/>
        </w:rPr>
        <w:t xml:space="preserve">insight moved </w:t>
      </w:r>
      <w:r w:rsidR="00C70744">
        <w:rPr>
          <w:rFonts w:ascii="Arial" w:hAnsi="Arial" w:cs="Arial"/>
          <w:sz w:val="24"/>
          <w:szCs w:val="24"/>
        </w:rPr>
        <w:t xml:space="preserve">the program’s theory of change </w:t>
      </w:r>
      <w:r w:rsidR="003D4225" w:rsidRPr="00B1350E">
        <w:rPr>
          <w:rFonts w:ascii="Arial" w:hAnsi="Arial" w:cs="Arial"/>
          <w:sz w:val="24"/>
          <w:szCs w:val="24"/>
        </w:rPr>
        <w:t xml:space="preserve">further into social </w:t>
      </w:r>
      <w:r w:rsidR="004B764F" w:rsidRPr="00B1350E">
        <w:rPr>
          <w:rFonts w:ascii="Arial" w:hAnsi="Arial" w:cs="Arial"/>
          <w:sz w:val="24"/>
          <w:szCs w:val="24"/>
        </w:rPr>
        <w:t>networking</w:t>
      </w:r>
      <w:r w:rsidR="003D4225" w:rsidRPr="00B1350E">
        <w:rPr>
          <w:rFonts w:ascii="Arial" w:hAnsi="Arial" w:cs="Arial"/>
          <w:sz w:val="24"/>
          <w:szCs w:val="24"/>
        </w:rPr>
        <w:t xml:space="preserve"> by building on</w:t>
      </w:r>
      <w:r w:rsidRPr="00B1350E">
        <w:rPr>
          <w:rFonts w:ascii="Arial" w:hAnsi="Arial" w:cs="Arial"/>
          <w:sz w:val="24"/>
          <w:szCs w:val="24"/>
        </w:rPr>
        <w:t xml:space="preserve"> insights of social market</w:t>
      </w:r>
      <w:r w:rsidR="00D60E91" w:rsidRPr="00B1350E">
        <w:rPr>
          <w:rFonts w:ascii="Arial" w:hAnsi="Arial" w:cs="Arial"/>
          <w:sz w:val="24"/>
          <w:szCs w:val="24"/>
        </w:rPr>
        <w:t>ing</w:t>
      </w:r>
      <w:r w:rsidR="004A47D0" w:rsidRPr="00B1350E">
        <w:rPr>
          <w:rFonts w:ascii="Arial" w:hAnsi="Arial" w:cs="Arial"/>
          <w:sz w:val="24"/>
          <w:szCs w:val="24"/>
        </w:rPr>
        <w:t xml:space="preserve"> </w:t>
      </w:r>
      <w:r w:rsidR="003D4225" w:rsidRPr="00B1350E">
        <w:rPr>
          <w:rFonts w:ascii="Arial" w:hAnsi="Arial" w:cs="Arial"/>
          <w:sz w:val="24"/>
          <w:szCs w:val="24"/>
        </w:rPr>
        <w:t xml:space="preserve">theorists </w:t>
      </w:r>
      <w:r w:rsidR="004A47D0" w:rsidRPr="00B1350E">
        <w:rPr>
          <w:rFonts w:ascii="Arial" w:hAnsi="Arial" w:cs="Arial"/>
          <w:sz w:val="24"/>
          <w:szCs w:val="24"/>
        </w:rPr>
        <w:t xml:space="preserve">(see </w:t>
      </w:r>
      <w:r w:rsidR="00D60E91" w:rsidRPr="00B1350E">
        <w:rPr>
          <w:rFonts w:ascii="Arial" w:hAnsi="Arial" w:cs="Arial"/>
          <w:sz w:val="24"/>
          <w:szCs w:val="24"/>
        </w:rPr>
        <w:t>Lefebvre</w:t>
      </w:r>
      <w:r w:rsidR="004A47D0" w:rsidRPr="00B1350E">
        <w:rPr>
          <w:rFonts w:ascii="Arial" w:hAnsi="Arial" w:cs="Arial"/>
          <w:sz w:val="24"/>
          <w:szCs w:val="24"/>
        </w:rPr>
        <w:t>, 201</w:t>
      </w:r>
      <w:r w:rsidR="00651AE7" w:rsidRPr="00B1350E">
        <w:rPr>
          <w:rFonts w:ascii="Arial" w:hAnsi="Arial" w:cs="Arial"/>
          <w:sz w:val="24"/>
          <w:szCs w:val="24"/>
        </w:rPr>
        <w:t>0</w:t>
      </w:r>
      <w:r w:rsidR="004A47D0" w:rsidRPr="00B1350E">
        <w:rPr>
          <w:rFonts w:ascii="Arial" w:hAnsi="Arial" w:cs="Arial"/>
          <w:sz w:val="24"/>
          <w:szCs w:val="24"/>
        </w:rPr>
        <w:t>)</w:t>
      </w:r>
      <w:r w:rsidRPr="00B1350E">
        <w:rPr>
          <w:rFonts w:ascii="Arial" w:hAnsi="Arial" w:cs="Arial"/>
          <w:sz w:val="24"/>
          <w:szCs w:val="24"/>
        </w:rPr>
        <w:t xml:space="preserve">.  Put simply, acquisition of knowledge may not suffice for someone to act </w:t>
      </w:r>
      <w:r w:rsidR="008E709F">
        <w:rPr>
          <w:rFonts w:ascii="Arial" w:hAnsi="Arial" w:cs="Arial"/>
          <w:sz w:val="24"/>
          <w:szCs w:val="24"/>
        </w:rPr>
        <w:t>or change behavior</w:t>
      </w:r>
      <w:r w:rsidRPr="00B1350E">
        <w:rPr>
          <w:rFonts w:ascii="Arial" w:hAnsi="Arial" w:cs="Arial"/>
          <w:sz w:val="24"/>
          <w:szCs w:val="24"/>
        </w:rPr>
        <w:t>, be it in deciding to participat</w:t>
      </w:r>
      <w:r w:rsidR="00651AE7" w:rsidRPr="00B1350E">
        <w:rPr>
          <w:rFonts w:ascii="Arial" w:hAnsi="Arial" w:cs="Arial"/>
          <w:sz w:val="24"/>
          <w:szCs w:val="24"/>
        </w:rPr>
        <w:t>e</w:t>
      </w:r>
      <w:r w:rsidRPr="00B1350E">
        <w:rPr>
          <w:rFonts w:ascii="Arial" w:hAnsi="Arial" w:cs="Arial"/>
          <w:sz w:val="24"/>
          <w:szCs w:val="24"/>
        </w:rPr>
        <w:t xml:space="preserve"> in some </w:t>
      </w:r>
      <w:r w:rsidRPr="00B1350E">
        <w:rPr>
          <w:rFonts w:ascii="Arial" w:hAnsi="Arial" w:cs="Arial"/>
          <w:sz w:val="24"/>
          <w:szCs w:val="24"/>
        </w:rPr>
        <w:lastRenderedPageBreak/>
        <w:t>library service/activity or in subsequently applying the learning acquired from that participation to another aspect of the participant’s life (</w:t>
      </w:r>
      <w:r w:rsidR="009D291F" w:rsidRPr="00B1350E">
        <w:rPr>
          <w:rFonts w:ascii="Arial" w:hAnsi="Arial" w:cs="Arial"/>
          <w:sz w:val="24"/>
          <w:szCs w:val="24"/>
        </w:rPr>
        <w:t>e.g.</w:t>
      </w:r>
      <w:r w:rsidRPr="00B1350E">
        <w:rPr>
          <w:rFonts w:ascii="Arial" w:hAnsi="Arial" w:cs="Arial"/>
          <w:sz w:val="24"/>
          <w:szCs w:val="24"/>
        </w:rPr>
        <w:t xml:space="preserve">, applying and obtaining a job).  Incentives matter.  </w:t>
      </w:r>
      <w:r w:rsidR="00D36FD3" w:rsidRPr="00B1350E">
        <w:rPr>
          <w:rFonts w:ascii="Arial" w:hAnsi="Arial" w:cs="Arial"/>
          <w:sz w:val="24"/>
          <w:szCs w:val="24"/>
        </w:rPr>
        <w:t xml:space="preserve">Further, diffusion </w:t>
      </w:r>
      <w:r w:rsidR="008E709F">
        <w:rPr>
          <w:rFonts w:ascii="Arial" w:hAnsi="Arial" w:cs="Arial"/>
          <w:sz w:val="24"/>
          <w:szCs w:val="24"/>
        </w:rPr>
        <w:t>is seen as</w:t>
      </w:r>
      <w:r w:rsidR="00D36FD3" w:rsidRPr="00B1350E">
        <w:rPr>
          <w:rFonts w:ascii="Arial" w:hAnsi="Arial" w:cs="Arial"/>
          <w:sz w:val="24"/>
          <w:szCs w:val="24"/>
        </w:rPr>
        <w:t xml:space="preserve"> an outgrowth of the process:  as one individual experience</w:t>
      </w:r>
      <w:r w:rsidR="008E709F">
        <w:rPr>
          <w:rFonts w:ascii="Arial" w:hAnsi="Arial" w:cs="Arial"/>
          <w:sz w:val="24"/>
          <w:szCs w:val="24"/>
        </w:rPr>
        <w:t>s</w:t>
      </w:r>
      <w:r w:rsidR="00D36FD3" w:rsidRPr="00B1350E">
        <w:rPr>
          <w:rFonts w:ascii="Arial" w:hAnsi="Arial" w:cs="Arial"/>
          <w:sz w:val="24"/>
          <w:szCs w:val="24"/>
        </w:rPr>
        <w:t xml:space="preserve"> the benefits of participating in some library service or activity, spill-over</w:t>
      </w:r>
      <w:r w:rsidR="000F4E2F" w:rsidRPr="00B1350E">
        <w:rPr>
          <w:rFonts w:ascii="Arial" w:hAnsi="Arial" w:cs="Arial"/>
          <w:sz w:val="24"/>
          <w:szCs w:val="24"/>
        </w:rPr>
        <w:t>s</w:t>
      </w:r>
      <w:r w:rsidR="00D36FD3" w:rsidRPr="00B1350E">
        <w:rPr>
          <w:rFonts w:ascii="Arial" w:hAnsi="Arial" w:cs="Arial"/>
          <w:sz w:val="24"/>
          <w:szCs w:val="24"/>
        </w:rPr>
        <w:t xml:space="preserve"> </w:t>
      </w:r>
      <w:r w:rsidR="00C70744">
        <w:rPr>
          <w:rFonts w:ascii="Arial" w:hAnsi="Arial" w:cs="Arial"/>
          <w:sz w:val="24"/>
          <w:szCs w:val="24"/>
        </w:rPr>
        <w:t>are more likely to occur</w:t>
      </w:r>
      <w:r w:rsidR="00D36FD3" w:rsidRPr="00B1350E">
        <w:rPr>
          <w:rFonts w:ascii="Arial" w:hAnsi="Arial" w:cs="Arial"/>
          <w:sz w:val="24"/>
          <w:szCs w:val="24"/>
        </w:rPr>
        <w:t xml:space="preserve"> </w:t>
      </w:r>
      <w:r w:rsidR="000F4E2F" w:rsidRPr="00B1350E">
        <w:rPr>
          <w:rFonts w:ascii="Arial" w:hAnsi="Arial" w:cs="Arial"/>
          <w:sz w:val="24"/>
          <w:szCs w:val="24"/>
        </w:rPr>
        <w:t>by</w:t>
      </w:r>
      <w:r w:rsidR="00D36FD3" w:rsidRPr="00B1350E">
        <w:rPr>
          <w:rFonts w:ascii="Arial" w:hAnsi="Arial" w:cs="Arial"/>
          <w:sz w:val="24"/>
          <w:szCs w:val="24"/>
        </w:rPr>
        <w:t xml:space="preserve"> </w:t>
      </w:r>
      <w:r w:rsidR="00C70744">
        <w:rPr>
          <w:rFonts w:ascii="Arial" w:hAnsi="Arial" w:cs="Arial"/>
          <w:sz w:val="24"/>
          <w:szCs w:val="24"/>
        </w:rPr>
        <w:t xml:space="preserve">either </w:t>
      </w:r>
      <w:r w:rsidR="008E709F">
        <w:rPr>
          <w:rFonts w:ascii="Arial" w:hAnsi="Arial" w:cs="Arial"/>
          <w:sz w:val="24"/>
          <w:szCs w:val="24"/>
        </w:rPr>
        <w:t xml:space="preserve">the </w:t>
      </w:r>
      <w:r w:rsidR="00C70744">
        <w:rPr>
          <w:rFonts w:ascii="Arial" w:hAnsi="Arial" w:cs="Arial"/>
          <w:sz w:val="24"/>
          <w:szCs w:val="24"/>
        </w:rPr>
        <w:t>target user</w:t>
      </w:r>
      <w:r w:rsidR="00D36FD3" w:rsidRPr="00B1350E">
        <w:rPr>
          <w:rFonts w:ascii="Arial" w:hAnsi="Arial" w:cs="Arial"/>
          <w:sz w:val="24"/>
          <w:szCs w:val="24"/>
        </w:rPr>
        <w:t xml:space="preserve"> opting to participate in </w:t>
      </w:r>
      <w:r w:rsidR="000F4E2F" w:rsidRPr="00B1350E">
        <w:rPr>
          <w:rFonts w:ascii="Arial" w:hAnsi="Arial" w:cs="Arial"/>
          <w:sz w:val="24"/>
          <w:szCs w:val="24"/>
        </w:rPr>
        <w:t>an</w:t>
      </w:r>
      <w:r w:rsidR="00D36FD3" w:rsidRPr="00B1350E">
        <w:rPr>
          <w:rFonts w:ascii="Arial" w:hAnsi="Arial" w:cs="Arial"/>
          <w:sz w:val="24"/>
          <w:szCs w:val="24"/>
        </w:rPr>
        <w:t xml:space="preserve">other library </w:t>
      </w:r>
      <w:r w:rsidR="000F4E2F" w:rsidRPr="00B1350E">
        <w:rPr>
          <w:rFonts w:ascii="Arial" w:hAnsi="Arial" w:cs="Arial"/>
          <w:sz w:val="24"/>
          <w:szCs w:val="24"/>
        </w:rPr>
        <w:t>program</w:t>
      </w:r>
      <w:r w:rsidR="00C70744">
        <w:rPr>
          <w:rFonts w:ascii="Arial" w:hAnsi="Arial" w:cs="Arial"/>
          <w:sz w:val="24"/>
          <w:szCs w:val="24"/>
        </w:rPr>
        <w:t xml:space="preserve"> or </w:t>
      </w:r>
      <w:r w:rsidR="00D36FD3" w:rsidRPr="00B1350E">
        <w:rPr>
          <w:rFonts w:ascii="Arial" w:hAnsi="Arial" w:cs="Arial"/>
          <w:sz w:val="24"/>
          <w:szCs w:val="24"/>
        </w:rPr>
        <w:t xml:space="preserve">another group of </w:t>
      </w:r>
      <w:r w:rsidR="00C70744">
        <w:rPr>
          <w:rFonts w:ascii="Arial" w:hAnsi="Arial" w:cs="Arial"/>
          <w:sz w:val="24"/>
          <w:szCs w:val="24"/>
        </w:rPr>
        <w:t>users</w:t>
      </w:r>
      <w:r w:rsidR="00D36FD3" w:rsidRPr="00B1350E">
        <w:rPr>
          <w:rFonts w:ascii="Arial" w:hAnsi="Arial" w:cs="Arial"/>
          <w:sz w:val="24"/>
          <w:szCs w:val="24"/>
        </w:rPr>
        <w:t xml:space="preserve"> opting to participate in the </w:t>
      </w:r>
      <w:r w:rsidR="000F4E2F" w:rsidRPr="00B1350E">
        <w:rPr>
          <w:rFonts w:ascii="Arial" w:hAnsi="Arial" w:cs="Arial"/>
          <w:sz w:val="24"/>
          <w:szCs w:val="24"/>
        </w:rPr>
        <w:t>initial library program</w:t>
      </w:r>
      <w:r w:rsidR="00D36FD3" w:rsidRPr="00B1350E">
        <w:rPr>
          <w:rFonts w:ascii="Arial" w:hAnsi="Arial" w:cs="Arial"/>
          <w:sz w:val="24"/>
          <w:szCs w:val="24"/>
        </w:rPr>
        <w:t>.</w:t>
      </w:r>
    </w:p>
    <w:p w:rsidR="00FF0C5C" w:rsidRPr="008E709F" w:rsidRDefault="00DA2079" w:rsidP="00FF0C5C">
      <w:pPr>
        <w:tabs>
          <w:tab w:val="left" w:pos="1440"/>
        </w:tabs>
        <w:spacing w:before="120" w:after="120" w:line="360" w:lineRule="auto"/>
        <w:rPr>
          <w:rFonts w:ascii="Arial" w:hAnsi="Arial" w:cs="Arial"/>
          <w:b/>
        </w:rPr>
      </w:pPr>
      <w:r>
        <w:rPr>
          <w:rFonts w:ascii="Arial" w:hAnsi="Arial" w:cs="Arial"/>
          <w:b/>
        </w:rPr>
        <w:t xml:space="preserve">Creating an </w:t>
      </w:r>
      <w:r w:rsidR="00FF0C5C" w:rsidRPr="008E709F">
        <w:rPr>
          <w:rFonts w:ascii="Arial" w:hAnsi="Arial" w:cs="Arial"/>
          <w:b/>
        </w:rPr>
        <w:t xml:space="preserve">Assessment </w:t>
      </w:r>
      <w:r>
        <w:rPr>
          <w:rFonts w:ascii="Arial" w:hAnsi="Arial" w:cs="Arial"/>
          <w:b/>
        </w:rPr>
        <w:t>Framework</w:t>
      </w:r>
    </w:p>
    <w:p w:rsidR="00FF0C5C" w:rsidRPr="00B1350E" w:rsidRDefault="00FF0C5C" w:rsidP="00FF0C5C">
      <w:pPr>
        <w:tabs>
          <w:tab w:val="left" w:pos="1440"/>
        </w:tabs>
        <w:spacing w:before="120" w:after="120" w:line="360" w:lineRule="auto"/>
        <w:rPr>
          <w:rFonts w:ascii="Arial" w:hAnsi="Arial" w:cs="Arial"/>
        </w:rPr>
      </w:pPr>
      <w:r w:rsidRPr="00B1350E">
        <w:rPr>
          <w:rFonts w:ascii="Arial" w:hAnsi="Arial" w:cs="Arial"/>
        </w:rPr>
        <w:t>By early November 2011, the technical advisors had finished the bulk of their work.  The teams had refined results chains for five focal areas (including online databases but excluding civic engagement).  All incorporate</w:t>
      </w:r>
      <w:r w:rsidR="00A66C13" w:rsidRPr="00B1350E">
        <w:rPr>
          <w:rFonts w:ascii="Arial" w:hAnsi="Arial" w:cs="Arial"/>
        </w:rPr>
        <w:t>d</w:t>
      </w:r>
      <w:r w:rsidRPr="00B1350E">
        <w:rPr>
          <w:rFonts w:ascii="Arial" w:hAnsi="Arial" w:cs="Arial"/>
        </w:rPr>
        <w:t xml:space="preserve"> the same set of </w:t>
      </w:r>
      <w:r w:rsidR="000B48C9" w:rsidRPr="00B1350E">
        <w:rPr>
          <w:rFonts w:ascii="Arial" w:hAnsi="Arial" w:cs="Arial"/>
        </w:rPr>
        <w:t xml:space="preserve">interrelated </w:t>
      </w:r>
      <w:r w:rsidRPr="00B1350E">
        <w:rPr>
          <w:rFonts w:ascii="Arial" w:hAnsi="Arial" w:cs="Arial"/>
        </w:rPr>
        <w:t>actors in a social network</w:t>
      </w:r>
      <w:r w:rsidR="000B48C9" w:rsidRPr="00B1350E">
        <w:rPr>
          <w:rFonts w:ascii="Arial" w:hAnsi="Arial" w:cs="Arial"/>
        </w:rPr>
        <w:t xml:space="preserve"> and articulated </w:t>
      </w:r>
      <w:r w:rsidR="00A66C13" w:rsidRPr="00B1350E">
        <w:rPr>
          <w:rFonts w:ascii="Arial" w:hAnsi="Arial" w:cs="Arial"/>
        </w:rPr>
        <w:t xml:space="preserve">a unified </w:t>
      </w:r>
      <w:r w:rsidRPr="00B1350E">
        <w:rPr>
          <w:rFonts w:ascii="Arial" w:hAnsi="Arial" w:cs="Arial"/>
        </w:rPr>
        <w:t>theor</w:t>
      </w:r>
      <w:r w:rsidR="00A66C13" w:rsidRPr="00B1350E">
        <w:rPr>
          <w:rFonts w:ascii="Arial" w:hAnsi="Arial" w:cs="Arial"/>
        </w:rPr>
        <w:t>y</w:t>
      </w:r>
      <w:r w:rsidRPr="00B1350E">
        <w:rPr>
          <w:rFonts w:ascii="Arial" w:hAnsi="Arial" w:cs="Arial"/>
        </w:rPr>
        <w:t xml:space="preserve"> of change</w:t>
      </w:r>
      <w:r w:rsidR="00A66C13" w:rsidRPr="00B1350E">
        <w:rPr>
          <w:rFonts w:ascii="Arial" w:hAnsi="Arial" w:cs="Arial"/>
        </w:rPr>
        <w:t xml:space="preserve"> associated with informal learning</w:t>
      </w:r>
      <w:r w:rsidRPr="00B1350E">
        <w:rPr>
          <w:rFonts w:ascii="Arial" w:hAnsi="Arial" w:cs="Arial"/>
        </w:rPr>
        <w:t>.  Unlike logic models, the results chains rel</w:t>
      </w:r>
      <w:r w:rsidR="00A66C13" w:rsidRPr="00B1350E">
        <w:rPr>
          <w:rFonts w:ascii="Arial" w:hAnsi="Arial" w:cs="Arial"/>
        </w:rPr>
        <w:t>ied</w:t>
      </w:r>
      <w:r w:rsidRPr="00B1350E">
        <w:rPr>
          <w:rFonts w:ascii="Arial" w:hAnsi="Arial" w:cs="Arial"/>
        </w:rPr>
        <w:t xml:space="preserve"> extensively on non-linear relationships</w:t>
      </w:r>
      <w:r w:rsidR="00A66C13" w:rsidRPr="00B1350E">
        <w:rPr>
          <w:rFonts w:ascii="Arial" w:hAnsi="Arial" w:cs="Arial"/>
        </w:rPr>
        <w:t xml:space="preserve"> culminating in </w:t>
      </w:r>
      <w:r w:rsidR="00C70744">
        <w:rPr>
          <w:rFonts w:ascii="Arial" w:hAnsi="Arial" w:cs="Arial"/>
        </w:rPr>
        <w:t xml:space="preserve">expected improvements </w:t>
      </w:r>
      <w:r w:rsidR="00A66C13" w:rsidRPr="00B1350E">
        <w:rPr>
          <w:rFonts w:ascii="Arial" w:hAnsi="Arial" w:cs="Arial"/>
        </w:rPr>
        <w:t xml:space="preserve">for </w:t>
      </w:r>
      <w:r w:rsidR="00C70744">
        <w:rPr>
          <w:rFonts w:ascii="Arial" w:hAnsi="Arial" w:cs="Arial"/>
        </w:rPr>
        <w:t>a plethora of groups in society</w:t>
      </w:r>
      <w:r w:rsidR="00A66C13" w:rsidRPr="00B1350E">
        <w:rPr>
          <w:rFonts w:ascii="Arial" w:hAnsi="Arial" w:cs="Arial"/>
        </w:rPr>
        <w:t>.</w:t>
      </w:r>
    </w:p>
    <w:p w:rsidR="00FF0C5C" w:rsidRPr="00B1350E" w:rsidRDefault="00FF0C5C" w:rsidP="00FF0C5C">
      <w:pPr>
        <w:tabs>
          <w:tab w:val="left" w:pos="1440"/>
        </w:tabs>
        <w:spacing w:before="120" w:after="120" w:line="360" w:lineRule="auto"/>
        <w:rPr>
          <w:rFonts w:ascii="Arial" w:hAnsi="Arial" w:cs="Arial"/>
        </w:rPr>
      </w:pPr>
      <w:r w:rsidRPr="00B1350E">
        <w:rPr>
          <w:rFonts w:ascii="Arial" w:hAnsi="Arial" w:cs="Arial"/>
        </w:rPr>
        <w:t xml:space="preserve">As the new </w:t>
      </w:r>
      <w:r w:rsidR="000B48C9" w:rsidRPr="00B1350E">
        <w:rPr>
          <w:rFonts w:ascii="Arial" w:hAnsi="Arial" w:cs="Arial"/>
        </w:rPr>
        <w:t xml:space="preserve">focal area </w:t>
      </w:r>
      <w:r w:rsidRPr="00B1350E">
        <w:rPr>
          <w:rFonts w:ascii="Arial" w:hAnsi="Arial" w:cs="Arial"/>
        </w:rPr>
        <w:t xml:space="preserve">results chains were finalized, the </w:t>
      </w:r>
      <w:r w:rsidR="00A66C13" w:rsidRPr="00B1350E">
        <w:rPr>
          <w:rFonts w:ascii="Arial" w:hAnsi="Arial" w:cs="Arial"/>
        </w:rPr>
        <w:t>t</w:t>
      </w:r>
      <w:r w:rsidRPr="00B1350E">
        <w:rPr>
          <w:rFonts w:ascii="Arial" w:hAnsi="Arial" w:cs="Arial"/>
        </w:rPr>
        <w:t xml:space="preserve">echnical </w:t>
      </w:r>
      <w:r w:rsidR="00A66C13" w:rsidRPr="00B1350E">
        <w:rPr>
          <w:rFonts w:ascii="Arial" w:hAnsi="Arial" w:cs="Arial"/>
        </w:rPr>
        <w:t>a</w:t>
      </w:r>
      <w:r w:rsidRPr="00B1350E">
        <w:rPr>
          <w:rFonts w:ascii="Arial" w:hAnsi="Arial" w:cs="Arial"/>
        </w:rPr>
        <w:t>dvisor</w:t>
      </w:r>
      <w:r w:rsidR="00A66C13" w:rsidRPr="00B1350E">
        <w:rPr>
          <w:rFonts w:ascii="Arial" w:hAnsi="Arial" w:cs="Arial"/>
        </w:rPr>
        <w:t>s</w:t>
      </w:r>
      <w:r w:rsidRPr="00B1350E">
        <w:rPr>
          <w:rFonts w:ascii="Arial" w:hAnsi="Arial" w:cs="Arial"/>
        </w:rPr>
        <w:t xml:space="preserve"> moved to consider design</w:t>
      </w:r>
      <w:r w:rsidR="00C70744">
        <w:rPr>
          <w:rFonts w:ascii="Arial" w:hAnsi="Arial" w:cs="Arial"/>
        </w:rPr>
        <w:t>ing</w:t>
      </w:r>
      <w:r w:rsidRPr="00B1350E">
        <w:rPr>
          <w:rFonts w:ascii="Arial" w:hAnsi="Arial" w:cs="Arial"/>
        </w:rPr>
        <w:t xml:space="preserve"> an assessment framework</w:t>
      </w:r>
      <w:r w:rsidR="00A66C13" w:rsidRPr="00B1350E">
        <w:rPr>
          <w:rFonts w:ascii="Arial" w:hAnsi="Arial" w:cs="Arial"/>
        </w:rPr>
        <w:t xml:space="preserve"> </w:t>
      </w:r>
      <w:r w:rsidR="000B48C9" w:rsidRPr="00B1350E">
        <w:rPr>
          <w:rFonts w:ascii="Arial" w:hAnsi="Arial" w:cs="Arial"/>
        </w:rPr>
        <w:t>to</w:t>
      </w:r>
      <w:r w:rsidR="00A66C13" w:rsidRPr="00B1350E">
        <w:rPr>
          <w:rFonts w:ascii="Arial" w:hAnsi="Arial" w:cs="Arial"/>
        </w:rPr>
        <w:t xml:space="preserve"> measur</w:t>
      </w:r>
      <w:r w:rsidR="000B48C9" w:rsidRPr="00B1350E">
        <w:rPr>
          <w:rFonts w:ascii="Arial" w:hAnsi="Arial" w:cs="Arial"/>
        </w:rPr>
        <w:t>e</w:t>
      </w:r>
      <w:r w:rsidR="00A66C13" w:rsidRPr="00B1350E">
        <w:rPr>
          <w:rFonts w:ascii="Arial" w:hAnsi="Arial" w:cs="Arial"/>
        </w:rPr>
        <w:t xml:space="preserve"> whether the theories embedded in the results chain worked as intended, and if not, to be able to adapt and modify</w:t>
      </w:r>
      <w:r w:rsidRPr="00B1350E">
        <w:rPr>
          <w:rFonts w:ascii="Arial" w:hAnsi="Arial" w:cs="Arial"/>
        </w:rPr>
        <w:t xml:space="preserve">. </w:t>
      </w:r>
      <w:r w:rsidR="00A66C13" w:rsidRPr="00B1350E">
        <w:rPr>
          <w:rFonts w:ascii="Arial" w:hAnsi="Arial" w:cs="Arial"/>
        </w:rPr>
        <w:t>L</w:t>
      </w:r>
      <w:r w:rsidRPr="00B1350E">
        <w:rPr>
          <w:rFonts w:ascii="Arial" w:hAnsi="Arial" w:cs="Arial"/>
        </w:rPr>
        <w:t>inks on the results chain</w:t>
      </w:r>
      <w:r w:rsidR="00A66C13" w:rsidRPr="00B1350E">
        <w:rPr>
          <w:rFonts w:ascii="Arial" w:hAnsi="Arial" w:cs="Arial"/>
        </w:rPr>
        <w:t xml:space="preserve">s were reviewed </w:t>
      </w:r>
      <w:r w:rsidR="008F68C6" w:rsidRPr="00B1350E">
        <w:rPr>
          <w:rFonts w:ascii="Arial" w:hAnsi="Arial" w:cs="Arial"/>
        </w:rPr>
        <w:t>to decide</w:t>
      </w:r>
      <w:r w:rsidR="00A66C13" w:rsidRPr="00B1350E">
        <w:rPr>
          <w:rFonts w:ascii="Arial" w:hAnsi="Arial" w:cs="Arial"/>
        </w:rPr>
        <w:t xml:space="preserve"> </w:t>
      </w:r>
      <w:r w:rsidRPr="00B1350E">
        <w:rPr>
          <w:rFonts w:ascii="Arial" w:hAnsi="Arial" w:cs="Arial"/>
        </w:rPr>
        <w:t xml:space="preserve">whether </w:t>
      </w:r>
      <w:r w:rsidR="008F68C6" w:rsidRPr="00B1350E">
        <w:rPr>
          <w:rFonts w:ascii="Arial" w:hAnsi="Arial" w:cs="Arial"/>
        </w:rPr>
        <w:t xml:space="preserve">national </w:t>
      </w:r>
      <w:r w:rsidRPr="00B1350E">
        <w:rPr>
          <w:rFonts w:ascii="Arial" w:hAnsi="Arial" w:cs="Arial"/>
        </w:rPr>
        <w:t xml:space="preserve">assessment </w:t>
      </w:r>
      <w:r w:rsidR="00A66C13" w:rsidRPr="00B1350E">
        <w:rPr>
          <w:rFonts w:ascii="Arial" w:hAnsi="Arial" w:cs="Arial"/>
        </w:rPr>
        <w:t>was merited</w:t>
      </w:r>
      <w:r w:rsidRPr="00B1350E">
        <w:rPr>
          <w:rFonts w:ascii="Arial" w:hAnsi="Arial" w:cs="Arial"/>
        </w:rPr>
        <w:t xml:space="preserve">. If the answer was yes, research questions </w:t>
      </w:r>
      <w:r w:rsidR="00A66C13" w:rsidRPr="00B1350E">
        <w:rPr>
          <w:rFonts w:ascii="Arial" w:hAnsi="Arial" w:cs="Arial"/>
        </w:rPr>
        <w:t>were vetted around these links</w:t>
      </w:r>
      <w:r w:rsidRPr="00B1350E">
        <w:rPr>
          <w:rFonts w:ascii="Arial" w:hAnsi="Arial" w:cs="Arial"/>
        </w:rPr>
        <w:t xml:space="preserve">.  </w:t>
      </w:r>
    </w:p>
    <w:p w:rsidR="00FF0C5C" w:rsidRPr="00B1350E" w:rsidRDefault="00DA2079" w:rsidP="00FF0C5C">
      <w:pPr>
        <w:tabs>
          <w:tab w:val="left" w:pos="1440"/>
        </w:tabs>
        <w:spacing w:before="120" w:after="120" w:line="360" w:lineRule="auto"/>
        <w:rPr>
          <w:rFonts w:ascii="Arial" w:hAnsi="Arial" w:cs="Arial"/>
        </w:rPr>
      </w:pPr>
      <w:r>
        <w:rPr>
          <w:rFonts w:ascii="Arial" w:hAnsi="Arial" w:cs="Arial"/>
        </w:rPr>
        <w:t xml:space="preserve">At this point, </w:t>
      </w:r>
      <w:r w:rsidRPr="00C70744">
        <w:rPr>
          <w:rFonts w:ascii="Arial" w:hAnsi="Arial" w:cs="Arial"/>
        </w:rPr>
        <w:t>an unexpected challenge</w:t>
      </w:r>
      <w:r>
        <w:rPr>
          <w:rFonts w:ascii="Arial" w:hAnsi="Arial" w:cs="Arial"/>
        </w:rPr>
        <w:t xml:space="preserve"> </w:t>
      </w:r>
      <w:r w:rsidR="00FF0C5C" w:rsidRPr="00B1350E">
        <w:rPr>
          <w:rFonts w:ascii="Arial" w:hAnsi="Arial" w:cs="Arial"/>
        </w:rPr>
        <w:t xml:space="preserve">emerged.  </w:t>
      </w:r>
      <w:r w:rsidR="008F68C6" w:rsidRPr="00B1350E">
        <w:rPr>
          <w:rFonts w:ascii="Arial" w:hAnsi="Arial" w:cs="Arial"/>
        </w:rPr>
        <w:t>IMLS</w:t>
      </w:r>
      <w:r w:rsidR="00FF0C5C" w:rsidRPr="00B1350E">
        <w:rPr>
          <w:rFonts w:ascii="Arial" w:hAnsi="Arial" w:cs="Arial"/>
        </w:rPr>
        <w:t xml:space="preserve"> had always assumed that evaluation </w:t>
      </w:r>
      <w:r w:rsidR="008F68C6" w:rsidRPr="00B1350E">
        <w:rPr>
          <w:rFonts w:ascii="Arial" w:hAnsi="Arial" w:cs="Arial"/>
        </w:rPr>
        <w:t xml:space="preserve">methods </w:t>
      </w:r>
      <w:r w:rsidR="00FF0C5C" w:rsidRPr="00B1350E">
        <w:rPr>
          <w:rFonts w:ascii="Arial" w:hAnsi="Arial" w:cs="Arial"/>
        </w:rPr>
        <w:t xml:space="preserve">would not rely </w:t>
      </w:r>
      <w:r w:rsidR="008F68C6" w:rsidRPr="00B1350E">
        <w:rPr>
          <w:rFonts w:ascii="Arial" w:hAnsi="Arial" w:cs="Arial"/>
        </w:rPr>
        <w:t>exclusively</w:t>
      </w:r>
      <w:r w:rsidR="00FF0C5C" w:rsidRPr="00B1350E">
        <w:rPr>
          <w:rFonts w:ascii="Arial" w:hAnsi="Arial" w:cs="Arial"/>
        </w:rPr>
        <w:t xml:space="preserve"> on statistical performance indicators.  </w:t>
      </w:r>
      <w:r w:rsidR="008F68C6" w:rsidRPr="00B1350E">
        <w:rPr>
          <w:rFonts w:ascii="Arial" w:hAnsi="Arial" w:cs="Arial"/>
        </w:rPr>
        <w:t>It expected</w:t>
      </w:r>
      <w:r w:rsidR="00FF0C5C" w:rsidRPr="00B1350E">
        <w:rPr>
          <w:rFonts w:ascii="Arial" w:hAnsi="Arial" w:cs="Arial"/>
        </w:rPr>
        <w:t xml:space="preserve"> that the nature of the question would drive the method, be it statistical metrics and/or </w:t>
      </w:r>
      <w:r w:rsidR="008F68C6" w:rsidRPr="00B1350E">
        <w:rPr>
          <w:rFonts w:ascii="Arial" w:hAnsi="Arial" w:cs="Arial"/>
        </w:rPr>
        <w:t xml:space="preserve">other </w:t>
      </w:r>
      <w:r w:rsidR="00C70744">
        <w:rPr>
          <w:rFonts w:ascii="Arial" w:hAnsi="Arial" w:cs="Arial"/>
        </w:rPr>
        <w:t xml:space="preserve">qualitative </w:t>
      </w:r>
      <w:r w:rsidR="008F68C6" w:rsidRPr="00B1350E">
        <w:rPr>
          <w:rFonts w:ascii="Arial" w:hAnsi="Arial" w:cs="Arial"/>
        </w:rPr>
        <w:t xml:space="preserve">inquiry </w:t>
      </w:r>
      <w:r w:rsidR="00FF0C5C" w:rsidRPr="00B1350E">
        <w:rPr>
          <w:rFonts w:ascii="Arial" w:hAnsi="Arial" w:cs="Arial"/>
        </w:rPr>
        <w:t>approaches</w:t>
      </w:r>
      <w:r w:rsidR="008F68C6" w:rsidRPr="00B1350E">
        <w:rPr>
          <w:rFonts w:ascii="Arial" w:hAnsi="Arial" w:cs="Arial"/>
        </w:rPr>
        <w:t xml:space="preserve">. </w:t>
      </w:r>
      <w:r w:rsidR="00FF0C5C" w:rsidRPr="00B1350E">
        <w:rPr>
          <w:rFonts w:ascii="Arial" w:hAnsi="Arial" w:cs="Arial"/>
        </w:rPr>
        <w:t xml:space="preserve">The </w:t>
      </w:r>
      <w:r>
        <w:rPr>
          <w:rFonts w:ascii="Arial" w:hAnsi="Arial" w:cs="Arial"/>
        </w:rPr>
        <w:t xml:space="preserve">senior </w:t>
      </w:r>
      <w:r w:rsidR="00FF0C5C" w:rsidRPr="00B1350E">
        <w:rPr>
          <w:rFonts w:ascii="Arial" w:hAnsi="Arial" w:cs="Arial"/>
        </w:rPr>
        <w:t>author of this manuscript led</w:t>
      </w:r>
      <w:r w:rsidR="008F68C6" w:rsidRPr="00B1350E">
        <w:rPr>
          <w:rFonts w:ascii="Arial" w:hAnsi="Arial" w:cs="Arial"/>
        </w:rPr>
        <w:t xml:space="preserve"> </w:t>
      </w:r>
      <w:r w:rsidR="00FF0C5C" w:rsidRPr="00B1350E">
        <w:rPr>
          <w:rFonts w:ascii="Arial" w:hAnsi="Arial" w:cs="Arial"/>
        </w:rPr>
        <w:t>methods</w:t>
      </w:r>
      <w:r w:rsidR="008F68C6" w:rsidRPr="00B1350E">
        <w:rPr>
          <w:rFonts w:ascii="Arial" w:hAnsi="Arial" w:cs="Arial"/>
        </w:rPr>
        <w:t xml:space="preserve"> selection</w:t>
      </w:r>
      <w:r w:rsidR="00627B31">
        <w:rPr>
          <w:rFonts w:ascii="Arial" w:hAnsi="Arial" w:cs="Arial"/>
        </w:rPr>
        <w:t xml:space="preserve"> in close </w:t>
      </w:r>
      <w:r w:rsidR="00846F63">
        <w:rPr>
          <w:rFonts w:ascii="Arial" w:hAnsi="Arial" w:cs="Arial"/>
        </w:rPr>
        <w:t>collaboration with</w:t>
      </w:r>
      <w:r w:rsidR="00FF0C5C" w:rsidRPr="00B1350E">
        <w:rPr>
          <w:rFonts w:ascii="Arial" w:hAnsi="Arial" w:cs="Arial"/>
        </w:rPr>
        <w:t xml:space="preserve"> the director</w:t>
      </w:r>
      <w:r>
        <w:rPr>
          <w:rFonts w:ascii="Arial" w:hAnsi="Arial" w:cs="Arial"/>
        </w:rPr>
        <w:t xml:space="preserve"> of</w:t>
      </w:r>
      <w:r w:rsidR="00FF0C5C" w:rsidRPr="00B1350E">
        <w:rPr>
          <w:rFonts w:ascii="Arial" w:hAnsi="Arial" w:cs="Arial"/>
        </w:rPr>
        <w:t xml:space="preserve"> IMLS</w:t>
      </w:r>
      <w:r w:rsidR="008F68C6" w:rsidRPr="00B1350E">
        <w:rPr>
          <w:rFonts w:ascii="Arial" w:hAnsi="Arial" w:cs="Arial"/>
        </w:rPr>
        <w:t>’s</w:t>
      </w:r>
      <w:r w:rsidR="00FF0C5C" w:rsidRPr="00B1350E">
        <w:rPr>
          <w:rFonts w:ascii="Arial" w:hAnsi="Arial" w:cs="Arial"/>
        </w:rPr>
        <w:t xml:space="preserve"> Office for Planning, Research</w:t>
      </w:r>
      <w:r w:rsidR="008F68C6" w:rsidRPr="00B1350E">
        <w:rPr>
          <w:rFonts w:ascii="Arial" w:hAnsi="Arial" w:cs="Arial"/>
        </w:rPr>
        <w:t>,</w:t>
      </w:r>
      <w:r w:rsidR="00FF0C5C" w:rsidRPr="00B1350E">
        <w:rPr>
          <w:rFonts w:ascii="Arial" w:hAnsi="Arial" w:cs="Arial"/>
        </w:rPr>
        <w:t xml:space="preserve"> and Evaluation.  This task had been presumed to be relatively </w:t>
      </w:r>
      <w:r w:rsidR="00D13225" w:rsidRPr="00B1350E">
        <w:rPr>
          <w:rFonts w:ascii="Arial" w:hAnsi="Arial" w:cs="Arial"/>
        </w:rPr>
        <w:t>straightforward</w:t>
      </w:r>
      <w:r w:rsidR="008F68C6" w:rsidRPr="00B1350E">
        <w:rPr>
          <w:rFonts w:ascii="Arial" w:hAnsi="Arial" w:cs="Arial"/>
        </w:rPr>
        <w:t xml:space="preserve">, given their </w:t>
      </w:r>
      <w:r w:rsidR="006651B7" w:rsidRPr="00B1350E">
        <w:rPr>
          <w:rFonts w:ascii="Arial" w:hAnsi="Arial" w:cs="Arial"/>
        </w:rPr>
        <w:t>education</w:t>
      </w:r>
      <w:r w:rsidR="008F68C6" w:rsidRPr="00B1350E">
        <w:rPr>
          <w:rFonts w:ascii="Arial" w:hAnsi="Arial" w:cs="Arial"/>
        </w:rPr>
        <w:t xml:space="preserve"> and experience, but it</w:t>
      </w:r>
      <w:r w:rsidR="00FF0C5C" w:rsidRPr="00B1350E">
        <w:rPr>
          <w:rFonts w:ascii="Arial" w:hAnsi="Arial" w:cs="Arial"/>
        </w:rPr>
        <w:t xml:space="preserve"> t</w:t>
      </w:r>
      <w:r w:rsidR="00A66C13" w:rsidRPr="00B1350E">
        <w:rPr>
          <w:rFonts w:ascii="Arial" w:hAnsi="Arial" w:cs="Arial"/>
        </w:rPr>
        <w:t>urned out otherwise</w:t>
      </w:r>
      <w:r w:rsidR="00FF0C5C" w:rsidRPr="00B1350E">
        <w:rPr>
          <w:rFonts w:ascii="Arial" w:hAnsi="Arial" w:cs="Arial"/>
        </w:rPr>
        <w:t xml:space="preserve">.  </w:t>
      </w:r>
    </w:p>
    <w:p w:rsidR="00A66C13" w:rsidRPr="00B1350E" w:rsidRDefault="00FF0C5C" w:rsidP="00FF0C5C">
      <w:pPr>
        <w:tabs>
          <w:tab w:val="left" w:pos="1440"/>
        </w:tabs>
        <w:spacing w:before="120" w:after="120" w:line="360" w:lineRule="auto"/>
        <w:rPr>
          <w:rFonts w:ascii="Arial" w:hAnsi="Arial" w:cs="Arial"/>
        </w:rPr>
      </w:pPr>
      <w:r w:rsidRPr="00B1350E">
        <w:rPr>
          <w:rFonts w:ascii="Arial" w:hAnsi="Arial" w:cs="Arial"/>
        </w:rPr>
        <w:t xml:space="preserve">If a new evaluation </w:t>
      </w:r>
      <w:r w:rsidR="00627B31">
        <w:rPr>
          <w:rFonts w:ascii="Arial" w:hAnsi="Arial" w:cs="Arial"/>
        </w:rPr>
        <w:t>approach</w:t>
      </w:r>
      <w:r w:rsidRPr="00B1350E">
        <w:rPr>
          <w:rFonts w:ascii="Arial" w:hAnsi="Arial" w:cs="Arial"/>
        </w:rPr>
        <w:t xml:space="preserve"> to collect data </w:t>
      </w:r>
      <w:r w:rsidR="00A66C13" w:rsidRPr="00B1350E">
        <w:rPr>
          <w:rFonts w:ascii="Arial" w:hAnsi="Arial" w:cs="Arial"/>
        </w:rPr>
        <w:t>across disparate projects and connect</w:t>
      </w:r>
      <w:r w:rsidR="008F68C6" w:rsidRPr="00B1350E">
        <w:rPr>
          <w:rFonts w:ascii="Arial" w:hAnsi="Arial" w:cs="Arial"/>
        </w:rPr>
        <w:t xml:space="preserve"> </w:t>
      </w:r>
      <w:r w:rsidR="00A66C13" w:rsidRPr="00B1350E">
        <w:rPr>
          <w:rFonts w:ascii="Arial" w:hAnsi="Arial" w:cs="Arial"/>
        </w:rPr>
        <w:t xml:space="preserve">to the </w:t>
      </w:r>
      <w:r w:rsidR="008F68C6" w:rsidRPr="00B1350E">
        <w:rPr>
          <w:rFonts w:ascii="Arial" w:hAnsi="Arial" w:cs="Arial"/>
        </w:rPr>
        <w:t xml:space="preserve">interactive </w:t>
      </w:r>
      <w:r w:rsidR="00A66C13" w:rsidRPr="00B1350E">
        <w:rPr>
          <w:rFonts w:ascii="Arial" w:hAnsi="Arial" w:cs="Arial"/>
        </w:rPr>
        <w:t xml:space="preserve">social network </w:t>
      </w:r>
      <w:r w:rsidR="008F68C6" w:rsidRPr="00B1350E">
        <w:rPr>
          <w:rFonts w:ascii="Arial" w:hAnsi="Arial" w:cs="Arial"/>
        </w:rPr>
        <w:t xml:space="preserve">of </w:t>
      </w:r>
      <w:r w:rsidR="00A66C13" w:rsidRPr="00B1350E">
        <w:rPr>
          <w:rFonts w:ascii="Arial" w:hAnsi="Arial" w:cs="Arial"/>
        </w:rPr>
        <w:t xml:space="preserve">the </w:t>
      </w:r>
      <w:r w:rsidR="006651B7" w:rsidRPr="00B1350E">
        <w:rPr>
          <w:rFonts w:ascii="Arial" w:hAnsi="Arial" w:cs="Arial"/>
        </w:rPr>
        <w:t>SLAA universe</w:t>
      </w:r>
      <w:r w:rsidR="00DA2079">
        <w:rPr>
          <w:rFonts w:ascii="Arial" w:hAnsi="Arial" w:cs="Arial"/>
        </w:rPr>
        <w:t xml:space="preserve"> was to be created</w:t>
      </w:r>
      <w:r w:rsidRPr="00B1350E">
        <w:rPr>
          <w:rFonts w:ascii="Arial" w:hAnsi="Arial" w:cs="Arial"/>
        </w:rPr>
        <w:t xml:space="preserve">, an entirely new </w:t>
      </w:r>
      <w:r w:rsidRPr="00B1350E">
        <w:rPr>
          <w:rFonts w:ascii="Arial" w:hAnsi="Arial" w:cs="Arial"/>
        </w:rPr>
        <w:lastRenderedPageBreak/>
        <w:t xml:space="preserve">scheme </w:t>
      </w:r>
      <w:r w:rsidR="008F68C6" w:rsidRPr="00B1350E">
        <w:rPr>
          <w:rFonts w:ascii="Arial" w:hAnsi="Arial" w:cs="Arial"/>
        </w:rPr>
        <w:t xml:space="preserve">that could scale across local, state, and national levels </w:t>
      </w:r>
      <w:r w:rsidRPr="00B1350E">
        <w:rPr>
          <w:rFonts w:ascii="Arial" w:hAnsi="Arial" w:cs="Arial"/>
        </w:rPr>
        <w:t xml:space="preserve">was needed.   There </w:t>
      </w:r>
      <w:r w:rsidR="00C70744">
        <w:rPr>
          <w:rFonts w:ascii="Arial" w:hAnsi="Arial" w:cs="Arial"/>
        </w:rPr>
        <w:t>wa</w:t>
      </w:r>
      <w:r w:rsidR="00DA2079">
        <w:rPr>
          <w:rFonts w:ascii="Arial" w:hAnsi="Arial" w:cs="Arial"/>
        </w:rPr>
        <w:t xml:space="preserve">s </w:t>
      </w:r>
      <w:r w:rsidRPr="00B1350E">
        <w:rPr>
          <w:rFonts w:ascii="Arial" w:hAnsi="Arial" w:cs="Arial"/>
        </w:rPr>
        <w:t xml:space="preserve">no </w:t>
      </w:r>
      <w:r w:rsidR="00DA2079" w:rsidRPr="00C70744">
        <w:rPr>
          <w:rFonts w:ascii="Arial" w:hAnsi="Arial" w:cs="Arial"/>
        </w:rPr>
        <w:t>prior</w:t>
      </w:r>
      <w:r w:rsidR="00DA2079">
        <w:rPr>
          <w:rFonts w:ascii="Arial" w:hAnsi="Arial" w:cs="Arial"/>
        </w:rPr>
        <w:t xml:space="preserve"> </w:t>
      </w:r>
      <w:r w:rsidRPr="00B1350E">
        <w:rPr>
          <w:rFonts w:ascii="Arial" w:hAnsi="Arial" w:cs="Arial"/>
        </w:rPr>
        <w:t>precedent for such a system in library services</w:t>
      </w:r>
      <w:r w:rsidR="008F68C6" w:rsidRPr="00B1350E">
        <w:rPr>
          <w:rFonts w:ascii="Arial" w:hAnsi="Arial" w:cs="Arial"/>
        </w:rPr>
        <w:t xml:space="preserve"> </w:t>
      </w:r>
      <w:r w:rsidRPr="00B1350E">
        <w:rPr>
          <w:rFonts w:ascii="Arial" w:hAnsi="Arial" w:cs="Arial"/>
        </w:rPr>
        <w:t xml:space="preserve">in the </w:t>
      </w:r>
      <w:r w:rsidR="008F68C6" w:rsidRPr="00B1350E">
        <w:rPr>
          <w:rFonts w:ascii="Arial" w:hAnsi="Arial" w:cs="Arial"/>
        </w:rPr>
        <w:t>US</w:t>
      </w:r>
      <w:r w:rsidRPr="00B1350E">
        <w:rPr>
          <w:rFonts w:ascii="Arial" w:hAnsi="Arial" w:cs="Arial"/>
        </w:rPr>
        <w:t>.  Besides introducing new political and social uncertaint</w:t>
      </w:r>
      <w:r w:rsidR="008F68C6" w:rsidRPr="00B1350E">
        <w:rPr>
          <w:rFonts w:ascii="Arial" w:hAnsi="Arial" w:cs="Arial"/>
        </w:rPr>
        <w:t>ies</w:t>
      </w:r>
      <w:r w:rsidRPr="00B1350E">
        <w:rPr>
          <w:rFonts w:ascii="Arial" w:hAnsi="Arial" w:cs="Arial"/>
        </w:rPr>
        <w:t xml:space="preserve"> into the </w:t>
      </w:r>
      <w:r w:rsidR="00627B31">
        <w:rPr>
          <w:rFonts w:ascii="Arial" w:hAnsi="Arial" w:cs="Arial"/>
        </w:rPr>
        <w:t xml:space="preserve">newly emerging </w:t>
      </w:r>
      <w:r w:rsidRPr="00B1350E">
        <w:rPr>
          <w:rFonts w:ascii="Arial" w:hAnsi="Arial" w:cs="Arial"/>
        </w:rPr>
        <w:t xml:space="preserve">evaluation </w:t>
      </w:r>
      <w:r w:rsidR="00627B31">
        <w:rPr>
          <w:rFonts w:ascii="Arial" w:hAnsi="Arial" w:cs="Arial"/>
        </w:rPr>
        <w:t>approach</w:t>
      </w:r>
      <w:r w:rsidRPr="00B1350E">
        <w:rPr>
          <w:rFonts w:ascii="Arial" w:hAnsi="Arial" w:cs="Arial"/>
        </w:rPr>
        <w:t xml:space="preserve">, this lack of precedent created a methodological complexity.  It </w:t>
      </w:r>
      <w:r w:rsidR="00C70744">
        <w:rPr>
          <w:rFonts w:ascii="Arial" w:hAnsi="Arial" w:cs="Arial"/>
        </w:rPr>
        <w:t>wa</w:t>
      </w:r>
      <w:r w:rsidRPr="00B1350E">
        <w:rPr>
          <w:rFonts w:ascii="Arial" w:hAnsi="Arial" w:cs="Arial"/>
        </w:rPr>
        <w:t xml:space="preserve">s one issue to ask SLAAs to report about matters to which they had </w:t>
      </w:r>
      <w:r w:rsidRPr="00DA2079">
        <w:rPr>
          <w:rFonts w:ascii="Arial" w:hAnsi="Arial" w:cs="Arial"/>
        </w:rPr>
        <w:t xml:space="preserve">direct </w:t>
      </w:r>
      <w:r w:rsidRPr="00B1350E">
        <w:rPr>
          <w:rFonts w:ascii="Arial" w:hAnsi="Arial" w:cs="Arial"/>
        </w:rPr>
        <w:t>control, such as funds allotted for a particular program category</w:t>
      </w:r>
      <w:r w:rsidR="00C70744">
        <w:rPr>
          <w:rFonts w:ascii="Arial" w:hAnsi="Arial" w:cs="Arial"/>
        </w:rPr>
        <w:t>, say, through a project grant</w:t>
      </w:r>
      <w:r w:rsidRPr="00B1350E">
        <w:rPr>
          <w:rFonts w:ascii="Arial" w:hAnsi="Arial" w:cs="Arial"/>
        </w:rPr>
        <w:t xml:space="preserve"> over a given time interval.  It </w:t>
      </w:r>
      <w:r w:rsidR="00C70744">
        <w:rPr>
          <w:rFonts w:ascii="Arial" w:hAnsi="Arial" w:cs="Arial"/>
        </w:rPr>
        <w:t>wa</w:t>
      </w:r>
      <w:r w:rsidRPr="00B1350E">
        <w:rPr>
          <w:rFonts w:ascii="Arial" w:hAnsi="Arial" w:cs="Arial"/>
        </w:rPr>
        <w:t xml:space="preserve">s something </w:t>
      </w:r>
      <w:r w:rsidR="008F68C6" w:rsidRPr="00B1350E">
        <w:rPr>
          <w:rFonts w:ascii="Arial" w:hAnsi="Arial" w:cs="Arial"/>
        </w:rPr>
        <w:t>else</w:t>
      </w:r>
      <w:r w:rsidRPr="00B1350E">
        <w:rPr>
          <w:rFonts w:ascii="Arial" w:hAnsi="Arial" w:cs="Arial"/>
        </w:rPr>
        <w:t xml:space="preserve"> to collect data for </w:t>
      </w:r>
      <w:r w:rsidR="002E26DA" w:rsidRPr="00B1350E">
        <w:rPr>
          <w:rFonts w:ascii="Arial" w:hAnsi="Arial" w:cs="Arial"/>
        </w:rPr>
        <w:t xml:space="preserve">initiatives over </w:t>
      </w:r>
      <w:r w:rsidRPr="00B1350E">
        <w:rPr>
          <w:rFonts w:ascii="Arial" w:hAnsi="Arial" w:cs="Arial"/>
        </w:rPr>
        <w:t>which they ha</w:t>
      </w:r>
      <w:r w:rsidR="00DA2079">
        <w:rPr>
          <w:rFonts w:ascii="Arial" w:hAnsi="Arial" w:cs="Arial"/>
        </w:rPr>
        <w:t>ve</w:t>
      </w:r>
      <w:r w:rsidRPr="00B1350E">
        <w:rPr>
          <w:rFonts w:ascii="Arial" w:hAnsi="Arial" w:cs="Arial"/>
        </w:rPr>
        <w:t xml:space="preserve"> </w:t>
      </w:r>
      <w:r w:rsidR="00DA2079">
        <w:rPr>
          <w:rFonts w:ascii="Arial" w:hAnsi="Arial" w:cs="Arial"/>
        </w:rPr>
        <w:t xml:space="preserve">no </w:t>
      </w:r>
      <w:r w:rsidRPr="00B1350E">
        <w:rPr>
          <w:rFonts w:ascii="Arial" w:hAnsi="Arial" w:cs="Arial"/>
        </w:rPr>
        <w:t>direct control</w:t>
      </w:r>
      <w:r w:rsidR="002E26DA" w:rsidRPr="00B1350E">
        <w:rPr>
          <w:rFonts w:ascii="Arial" w:hAnsi="Arial" w:cs="Arial"/>
        </w:rPr>
        <w:t xml:space="preserve">, and in which no </w:t>
      </w:r>
      <w:r w:rsidR="00A66C13" w:rsidRPr="00B1350E">
        <w:rPr>
          <w:rFonts w:ascii="Arial" w:hAnsi="Arial" w:cs="Arial"/>
        </w:rPr>
        <w:t xml:space="preserve">dominant culture </w:t>
      </w:r>
      <w:r w:rsidR="002E26DA" w:rsidRPr="00B1350E">
        <w:rPr>
          <w:rFonts w:ascii="Arial" w:hAnsi="Arial" w:cs="Arial"/>
        </w:rPr>
        <w:t>for</w:t>
      </w:r>
      <w:r w:rsidR="00A66C13" w:rsidRPr="00B1350E">
        <w:rPr>
          <w:rFonts w:ascii="Arial" w:hAnsi="Arial" w:cs="Arial"/>
        </w:rPr>
        <w:t xml:space="preserve"> using </w:t>
      </w:r>
      <w:r w:rsidR="002E26DA" w:rsidRPr="00B1350E">
        <w:rPr>
          <w:rFonts w:ascii="Arial" w:hAnsi="Arial" w:cs="Arial"/>
        </w:rPr>
        <w:t xml:space="preserve">data </w:t>
      </w:r>
      <w:r w:rsidR="006651B7" w:rsidRPr="00B1350E">
        <w:rPr>
          <w:rFonts w:ascii="Arial" w:hAnsi="Arial" w:cs="Arial"/>
        </w:rPr>
        <w:t>in programmatic</w:t>
      </w:r>
      <w:r w:rsidR="00A66C13" w:rsidRPr="00B1350E">
        <w:rPr>
          <w:rFonts w:ascii="Arial" w:hAnsi="Arial" w:cs="Arial"/>
        </w:rPr>
        <w:t xml:space="preserve"> decision making</w:t>
      </w:r>
      <w:r w:rsidR="002E26DA" w:rsidRPr="00B1350E">
        <w:rPr>
          <w:rFonts w:ascii="Arial" w:hAnsi="Arial" w:cs="Arial"/>
        </w:rPr>
        <w:t xml:space="preserve"> exists (e.g.</w:t>
      </w:r>
      <w:r w:rsidR="00DA2079">
        <w:rPr>
          <w:rFonts w:ascii="Arial" w:hAnsi="Arial" w:cs="Arial"/>
        </w:rPr>
        <w:t xml:space="preserve">, </w:t>
      </w:r>
      <w:r w:rsidR="00C70744">
        <w:rPr>
          <w:rFonts w:ascii="Arial" w:hAnsi="Arial" w:cs="Arial"/>
        </w:rPr>
        <w:t>changes in employment status for participants in a library-based employment training program)</w:t>
      </w:r>
      <w:r w:rsidR="00A66C13" w:rsidRPr="00B1350E">
        <w:rPr>
          <w:rFonts w:ascii="Arial" w:hAnsi="Arial" w:cs="Arial"/>
        </w:rPr>
        <w:t>.</w:t>
      </w:r>
      <w:r w:rsidRPr="00B1350E">
        <w:rPr>
          <w:rFonts w:ascii="Arial" w:hAnsi="Arial" w:cs="Arial"/>
        </w:rPr>
        <w:t xml:space="preserve">  A one-size-fits-all data assessment model </w:t>
      </w:r>
      <w:r w:rsidR="00C70744">
        <w:rPr>
          <w:rFonts w:ascii="Arial" w:hAnsi="Arial" w:cs="Arial"/>
        </w:rPr>
        <w:t>was not possible</w:t>
      </w:r>
      <w:r w:rsidRPr="00B1350E">
        <w:rPr>
          <w:rFonts w:ascii="Arial" w:hAnsi="Arial" w:cs="Arial"/>
        </w:rPr>
        <w:t xml:space="preserve">.  </w:t>
      </w:r>
    </w:p>
    <w:p w:rsidR="00A66C13" w:rsidRPr="00B1350E" w:rsidRDefault="00FF0C5C" w:rsidP="00FF0C5C">
      <w:pPr>
        <w:tabs>
          <w:tab w:val="left" w:pos="1440"/>
        </w:tabs>
        <w:spacing w:before="120" w:after="120" w:line="360" w:lineRule="auto"/>
        <w:rPr>
          <w:rFonts w:ascii="Arial" w:hAnsi="Arial" w:cs="Arial"/>
        </w:rPr>
      </w:pPr>
      <w:r w:rsidRPr="00B1350E">
        <w:rPr>
          <w:rFonts w:ascii="Arial" w:hAnsi="Arial" w:cs="Arial"/>
        </w:rPr>
        <w:t xml:space="preserve">As a result, </w:t>
      </w:r>
      <w:r w:rsidR="00A66C13" w:rsidRPr="00B1350E">
        <w:rPr>
          <w:rFonts w:ascii="Arial" w:hAnsi="Arial" w:cs="Arial"/>
        </w:rPr>
        <w:t xml:space="preserve">the </w:t>
      </w:r>
      <w:r w:rsidR="002E26DA" w:rsidRPr="00B1350E">
        <w:rPr>
          <w:rFonts w:ascii="Arial" w:hAnsi="Arial" w:cs="Arial"/>
          <w:i/>
        </w:rPr>
        <w:t>Measuring Success</w:t>
      </w:r>
      <w:r w:rsidR="002E26DA" w:rsidRPr="00B1350E">
        <w:rPr>
          <w:rFonts w:ascii="Arial" w:hAnsi="Arial" w:cs="Arial"/>
        </w:rPr>
        <w:t xml:space="preserve"> </w:t>
      </w:r>
      <w:r w:rsidR="00A66C13" w:rsidRPr="00B1350E">
        <w:rPr>
          <w:rFonts w:ascii="Arial" w:hAnsi="Arial" w:cs="Arial"/>
        </w:rPr>
        <w:t>design phase stop</w:t>
      </w:r>
      <w:r w:rsidR="002E26DA" w:rsidRPr="00B1350E">
        <w:rPr>
          <w:rFonts w:ascii="Arial" w:hAnsi="Arial" w:cs="Arial"/>
        </w:rPr>
        <w:t>ped</w:t>
      </w:r>
      <w:r w:rsidR="00DA2079">
        <w:rPr>
          <w:rFonts w:ascii="Arial" w:hAnsi="Arial" w:cs="Arial"/>
        </w:rPr>
        <w:t xml:space="preserve"> again</w:t>
      </w:r>
      <w:r w:rsidR="00A66C13" w:rsidRPr="00B1350E">
        <w:rPr>
          <w:rFonts w:ascii="Arial" w:hAnsi="Arial" w:cs="Arial"/>
        </w:rPr>
        <w:t xml:space="preserve"> for reflection in late fall 2011</w:t>
      </w:r>
      <w:r w:rsidRPr="00B1350E">
        <w:rPr>
          <w:rFonts w:ascii="Arial" w:hAnsi="Arial" w:cs="Arial"/>
        </w:rPr>
        <w:t xml:space="preserve">. By this time, </w:t>
      </w:r>
      <w:r w:rsidR="00A66C13" w:rsidRPr="00B1350E">
        <w:rPr>
          <w:rFonts w:ascii="Arial" w:hAnsi="Arial" w:cs="Arial"/>
        </w:rPr>
        <w:t xml:space="preserve">the political urgency of the initiative had increased again, as the </w:t>
      </w:r>
      <w:r w:rsidRPr="00B1350E">
        <w:rPr>
          <w:rFonts w:ascii="Arial" w:hAnsi="Arial" w:cs="Arial"/>
        </w:rPr>
        <w:t>state library directors</w:t>
      </w:r>
      <w:r w:rsidR="00A66C13" w:rsidRPr="00B1350E">
        <w:rPr>
          <w:rFonts w:ascii="Arial" w:hAnsi="Arial" w:cs="Arial"/>
        </w:rPr>
        <w:t xml:space="preserve"> </w:t>
      </w:r>
      <w:r w:rsidR="00627B31">
        <w:rPr>
          <w:rFonts w:ascii="Arial" w:hAnsi="Arial" w:cs="Arial"/>
        </w:rPr>
        <w:t>(chiefs</w:t>
      </w:r>
      <w:r w:rsidR="00846F63">
        <w:rPr>
          <w:rFonts w:ascii="Arial" w:hAnsi="Arial" w:cs="Arial"/>
        </w:rPr>
        <w:t xml:space="preserve">) </w:t>
      </w:r>
      <w:r w:rsidR="00A66C13" w:rsidRPr="00B1350E">
        <w:rPr>
          <w:rFonts w:ascii="Arial" w:hAnsi="Arial" w:cs="Arial"/>
        </w:rPr>
        <w:t>were scheduled to meet</w:t>
      </w:r>
      <w:r w:rsidR="00C70744">
        <w:rPr>
          <w:rFonts w:ascii="Arial" w:hAnsi="Arial" w:cs="Arial"/>
        </w:rPr>
        <w:t xml:space="preserve"> at one of their periodic meetings</w:t>
      </w:r>
      <w:r w:rsidRPr="00B1350E">
        <w:rPr>
          <w:rFonts w:ascii="Arial" w:hAnsi="Arial" w:cs="Arial"/>
        </w:rPr>
        <w:t xml:space="preserve">.  Discussions </w:t>
      </w:r>
      <w:r w:rsidR="00A66C13" w:rsidRPr="00B1350E">
        <w:rPr>
          <w:rFonts w:ascii="Arial" w:hAnsi="Arial" w:cs="Arial"/>
        </w:rPr>
        <w:t xml:space="preserve">between IMLS senior leadership and these state library </w:t>
      </w:r>
      <w:r w:rsidR="002E26DA" w:rsidRPr="00B1350E">
        <w:rPr>
          <w:rFonts w:ascii="Arial" w:hAnsi="Arial" w:cs="Arial"/>
        </w:rPr>
        <w:t>officials</w:t>
      </w:r>
      <w:r w:rsidR="00A66C13" w:rsidRPr="00B1350E">
        <w:rPr>
          <w:rFonts w:ascii="Arial" w:hAnsi="Arial" w:cs="Arial"/>
        </w:rPr>
        <w:t xml:space="preserve"> </w:t>
      </w:r>
      <w:r w:rsidR="00C70744">
        <w:rPr>
          <w:rFonts w:ascii="Arial" w:hAnsi="Arial" w:cs="Arial"/>
        </w:rPr>
        <w:t xml:space="preserve">at this meeting </w:t>
      </w:r>
      <w:r w:rsidR="00A66C13" w:rsidRPr="00B1350E">
        <w:rPr>
          <w:rFonts w:ascii="Arial" w:hAnsi="Arial" w:cs="Arial"/>
        </w:rPr>
        <w:t xml:space="preserve">about progress </w:t>
      </w:r>
      <w:r w:rsidR="002E26DA" w:rsidRPr="00B1350E">
        <w:rPr>
          <w:rFonts w:ascii="Arial" w:hAnsi="Arial" w:cs="Arial"/>
        </w:rPr>
        <w:t xml:space="preserve">already </w:t>
      </w:r>
      <w:r w:rsidR="00A66C13" w:rsidRPr="00B1350E">
        <w:rPr>
          <w:rFonts w:ascii="Arial" w:hAnsi="Arial" w:cs="Arial"/>
        </w:rPr>
        <w:t xml:space="preserve">made led to </w:t>
      </w:r>
      <w:r w:rsidRPr="00B1350E">
        <w:rPr>
          <w:rFonts w:ascii="Arial" w:hAnsi="Arial" w:cs="Arial"/>
        </w:rPr>
        <w:t xml:space="preserve">renewed support to continue the </w:t>
      </w:r>
      <w:r w:rsidRPr="00DA2079">
        <w:rPr>
          <w:rFonts w:ascii="Arial" w:hAnsi="Arial" w:cs="Arial"/>
          <w:i/>
        </w:rPr>
        <w:t>Measuring Success</w:t>
      </w:r>
      <w:r w:rsidRPr="00B1350E">
        <w:rPr>
          <w:rFonts w:ascii="Arial" w:hAnsi="Arial" w:cs="Arial"/>
        </w:rPr>
        <w:t xml:space="preserve"> endeavor.  </w:t>
      </w:r>
    </w:p>
    <w:p w:rsidR="00A66C13" w:rsidRPr="00B1350E" w:rsidRDefault="00FF0C5C" w:rsidP="00FF0C5C">
      <w:pPr>
        <w:tabs>
          <w:tab w:val="left" w:pos="1440"/>
        </w:tabs>
        <w:spacing w:before="120" w:after="120" w:line="360" w:lineRule="auto"/>
        <w:rPr>
          <w:rFonts w:ascii="Arial" w:hAnsi="Arial" w:cs="Arial"/>
        </w:rPr>
      </w:pPr>
      <w:r w:rsidRPr="00B1350E">
        <w:rPr>
          <w:rFonts w:ascii="Arial" w:hAnsi="Arial" w:cs="Arial"/>
        </w:rPr>
        <w:t xml:space="preserve">The proposed solution </w:t>
      </w:r>
      <w:r w:rsidR="00C70744">
        <w:rPr>
          <w:rFonts w:ascii="Arial" w:hAnsi="Arial" w:cs="Arial"/>
        </w:rPr>
        <w:t xml:space="preserve">for the assessment scheme </w:t>
      </w:r>
      <w:r w:rsidRPr="00B1350E">
        <w:rPr>
          <w:rFonts w:ascii="Arial" w:hAnsi="Arial" w:cs="Arial"/>
        </w:rPr>
        <w:t>was developed by IMLS internally in winter 2012</w:t>
      </w:r>
      <w:r w:rsidR="00A66C13" w:rsidRPr="00B1350E">
        <w:rPr>
          <w:rFonts w:ascii="Arial" w:hAnsi="Arial" w:cs="Arial"/>
        </w:rPr>
        <w:t>.</w:t>
      </w:r>
      <w:r w:rsidRPr="00B1350E">
        <w:rPr>
          <w:rFonts w:ascii="Arial" w:hAnsi="Arial" w:cs="Arial"/>
        </w:rPr>
        <w:t xml:space="preserve"> </w:t>
      </w:r>
      <w:r w:rsidR="00A66C13" w:rsidRPr="00B1350E">
        <w:rPr>
          <w:rFonts w:ascii="Arial" w:hAnsi="Arial" w:cs="Arial"/>
        </w:rPr>
        <w:t xml:space="preserve">The schism in the </w:t>
      </w:r>
      <w:r w:rsidR="00C16023">
        <w:rPr>
          <w:rFonts w:ascii="Arial" w:hAnsi="Arial" w:cs="Arial"/>
        </w:rPr>
        <w:t>earlier</w:t>
      </w:r>
      <w:r w:rsidR="00A66C13" w:rsidRPr="00B1350E">
        <w:rPr>
          <w:rFonts w:ascii="Arial" w:hAnsi="Arial" w:cs="Arial"/>
        </w:rPr>
        <w:t xml:space="preserve"> evaluation </w:t>
      </w:r>
      <w:r w:rsidR="00627B31">
        <w:rPr>
          <w:rFonts w:ascii="Arial" w:hAnsi="Arial" w:cs="Arial"/>
        </w:rPr>
        <w:t xml:space="preserve">approach </w:t>
      </w:r>
      <w:r w:rsidR="00C16023">
        <w:rPr>
          <w:rFonts w:ascii="Arial" w:hAnsi="Arial" w:cs="Arial"/>
        </w:rPr>
        <w:t xml:space="preserve">with logic models used in Grants to States </w:t>
      </w:r>
      <w:r w:rsidRPr="00B1350E">
        <w:rPr>
          <w:rFonts w:ascii="Arial" w:hAnsi="Arial" w:cs="Arial"/>
        </w:rPr>
        <w:t xml:space="preserve">between projects and </w:t>
      </w:r>
      <w:r w:rsidR="00A66C13" w:rsidRPr="00B1350E">
        <w:rPr>
          <w:rFonts w:ascii="Arial" w:hAnsi="Arial" w:cs="Arial"/>
        </w:rPr>
        <w:t xml:space="preserve">some higher unit of analysis was resolved </w:t>
      </w:r>
      <w:r w:rsidR="00C16023">
        <w:rPr>
          <w:rFonts w:ascii="Arial" w:hAnsi="Arial" w:cs="Arial"/>
        </w:rPr>
        <w:t xml:space="preserve">in the new evaluation approach </w:t>
      </w:r>
      <w:r w:rsidR="00A66C13" w:rsidRPr="00B1350E">
        <w:rPr>
          <w:rFonts w:ascii="Arial" w:hAnsi="Arial" w:cs="Arial"/>
        </w:rPr>
        <w:t xml:space="preserve">by </w:t>
      </w:r>
      <w:r w:rsidR="002E26DA" w:rsidRPr="00B1350E">
        <w:rPr>
          <w:rFonts w:ascii="Arial" w:hAnsi="Arial" w:cs="Arial"/>
        </w:rPr>
        <w:t>targeting</w:t>
      </w:r>
      <w:r w:rsidR="00A66C13" w:rsidRPr="00B1350E">
        <w:rPr>
          <w:rFonts w:ascii="Arial" w:hAnsi="Arial" w:cs="Arial"/>
        </w:rPr>
        <w:t xml:space="preserve"> the f</w:t>
      </w:r>
      <w:r w:rsidRPr="00B1350E">
        <w:rPr>
          <w:rFonts w:ascii="Arial" w:hAnsi="Arial" w:cs="Arial"/>
        </w:rPr>
        <w:t>ocal area</w:t>
      </w:r>
      <w:r w:rsidR="00A66C13" w:rsidRPr="00B1350E">
        <w:rPr>
          <w:rFonts w:ascii="Arial" w:hAnsi="Arial" w:cs="Arial"/>
        </w:rPr>
        <w:t>s in the</w:t>
      </w:r>
      <w:r w:rsidRPr="00B1350E">
        <w:rPr>
          <w:rFonts w:ascii="Arial" w:hAnsi="Arial" w:cs="Arial"/>
        </w:rPr>
        <w:t xml:space="preserve"> results chains</w:t>
      </w:r>
      <w:r w:rsidR="00A66C13" w:rsidRPr="00B1350E">
        <w:rPr>
          <w:rFonts w:ascii="Arial" w:hAnsi="Arial" w:cs="Arial"/>
        </w:rPr>
        <w:t xml:space="preserve"> as foundations</w:t>
      </w:r>
      <w:r w:rsidRPr="00B1350E">
        <w:rPr>
          <w:rFonts w:ascii="Arial" w:hAnsi="Arial" w:cs="Arial"/>
        </w:rPr>
        <w:t xml:space="preserve">.  </w:t>
      </w:r>
      <w:r w:rsidR="00A66C13" w:rsidRPr="00B1350E">
        <w:rPr>
          <w:rFonts w:ascii="Arial" w:hAnsi="Arial" w:cs="Arial"/>
        </w:rPr>
        <w:t xml:space="preserve">Using prior input from SLAA participants, projects were </w:t>
      </w:r>
      <w:r w:rsidRPr="00B1350E">
        <w:rPr>
          <w:rFonts w:ascii="Arial" w:hAnsi="Arial" w:cs="Arial"/>
        </w:rPr>
        <w:t>classifi</w:t>
      </w:r>
      <w:r w:rsidR="00A66C13" w:rsidRPr="00B1350E">
        <w:rPr>
          <w:rFonts w:ascii="Arial" w:hAnsi="Arial" w:cs="Arial"/>
        </w:rPr>
        <w:t>ed</w:t>
      </w:r>
      <w:r w:rsidRPr="00B1350E">
        <w:rPr>
          <w:rFonts w:ascii="Arial" w:hAnsi="Arial" w:cs="Arial"/>
        </w:rPr>
        <w:t xml:space="preserve"> </w:t>
      </w:r>
      <w:r w:rsidR="002E26DA" w:rsidRPr="00B1350E">
        <w:rPr>
          <w:rFonts w:ascii="Arial" w:hAnsi="Arial" w:cs="Arial"/>
        </w:rPr>
        <w:t xml:space="preserve">into </w:t>
      </w:r>
      <w:r w:rsidRPr="00B1350E">
        <w:rPr>
          <w:rFonts w:ascii="Arial" w:hAnsi="Arial" w:cs="Arial"/>
        </w:rPr>
        <w:t>discrete activit</w:t>
      </w:r>
      <w:r w:rsidR="00A66C13" w:rsidRPr="00B1350E">
        <w:rPr>
          <w:rFonts w:ascii="Arial" w:hAnsi="Arial" w:cs="Arial"/>
        </w:rPr>
        <w:t xml:space="preserve">ies and </w:t>
      </w:r>
      <w:r w:rsidRPr="00B1350E">
        <w:rPr>
          <w:rFonts w:ascii="Arial" w:hAnsi="Arial" w:cs="Arial"/>
        </w:rPr>
        <w:t>service</w:t>
      </w:r>
      <w:r w:rsidR="00A66C13" w:rsidRPr="00B1350E">
        <w:rPr>
          <w:rFonts w:ascii="Arial" w:hAnsi="Arial" w:cs="Arial"/>
        </w:rPr>
        <w:t>s</w:t>
      </w:r>
      <w:r w:rsidRPr="00B1350E">
        <w:rPr>
          <w:rFonts w:ascii="Arial" w:hAnsi="Arial" w:cs="Arial"/>
        </w:rPr>
        <w:t xml:space="preserve"> </w:t>
      </w:r>
      <w:r w:rsidR="00627B31">
        <w:rPr>
          <w:rFonts w:ascii="Arial" w:hAnsi="Arial" w:cs="Arial"/>
        </w:rPr>
        <w:t>corresponding to</w:t>
      </w:r>
      <w:r w:rsidRPr="00B1350E">
        <w:rPr>
          <w:rFonts w:ascii="Arial" w:hAnsi="Arial" w:cs="Arial"/>
        </w:rPr>
        <w:t xml:space="preserve"> eac</w:t>
      </w:r>
      <w:r w:rsidR="00A66C13" w:rsidRPr="00B1350E">
        <w:rPr>
          <w:rFonts w:ascii="Arial" w:hAnsi="Arial" w:cs="Arial"/>
        </w:rPr>
        <w:t xml:space="preserve">h of the focal areas.  </w:t>
      </w:r>
      <w:r w:rsidR="00570B3E" w:rsidRPr="00B1350E">
        <w:rPr>
          <w:rFonts w:ascii="Arial" w:hAnsi="Arial" w:cs="Arial"/>
        </w:rPr>
        <w:t>T</w:t>
      </w:r>
      <w:r w:rsidRPr="00B1350E">
        <w:rPr>
          <w:rFonts w:ascii="Arial" w:hAnsi="Arial" w:cs="Arial"/>
        </w:rPr>
        <w:t>h</w:t>
      </w:r>
      <w:r w:rsidR="00627B31">
        <w:rPr>
          <w:rFonts w:ascii="Arial" w:hAnsi="Arial" w:cs="Arial"/>
        </w:rPr>
        <w:t>is scheme</w:t>
      </w:r>
      <w:r w:rsidR="00A66C13" w:rsidRPr="00B1350E">
        <w:rPr>
          <w:rFonts w:ascii="Arial" w:hAnsi="Arial" w:cs="Arial"/>
        </w:rPr>
        <w:t xml:space="preserve"> </w:t>
      </w:r>
      <w:r w:rsidRPr="00B1350E">
        <w:rPr>
          <w:rFonts w:ascii="Arial" w:hAnsi="Arial" w:cs="Arial"/>
        </w:rPr>
        <w:t>would focus on performance across the entire social network</w:t>
      </w:r>
      <w:r w:rsidR="00570B3E" w:rsidRPr="00B1350E">
        <w:rPr>
          <w:rFonts w:ascii="Arial" w:hAnsi="Arial" w:cs="Arial"/>
        </w:rPr>
        <w:t>,</w:t>
      </w:r>
      <w:r w:rsidRPr="00B1350E">
        <w:rPr>
          <w:rFonts w:ascii="Arial" w:hAnsi="Arial" w:cs="Arial"/>
        </w:rPr>
        <w:t xml:space="preserve"> with discrete assessments </w:t>
      </w:r>
      <w:r w:rsidR="00A66C13" w:rsidRPr="00B1350E">
        <w:rPr>
          <w:rFonts w:ascii="Arial" w:hAnsi="Arial" w:cs="Arial"/>
        </w:rPr>
        <w:t>of</w:t>
      </w:r>
      <w:r w:rsidRPr="00B1350E">
        <w:rPr>
          <w:rFonts w:ascii="Arial" w:hAnsi="Arial" w:cs="Arial"/>
        </w:rPr>
        <w:t xml:space="preserve"> an SLAA, a participating library</w:t>
      </w:r>
      <w:r w:rsidR="00A52FEE">
        <w:rPr>
          <w:rFonts w:ascii="Arial" w:hAnsi="Arial" w:cs="Arial"/>
        </w:rPr>
        <w:t>,</w:t>
      </w:r>
      <w:r w:rsidRPr="00B1350E">
        <w:rPr>
          <w:rFonts w:ascii="Arial" w:hAnsi="Arial" w:cs="Arial"/>
        </w:rPr>
        <w:t xml:space="preserve"> and some targeted set of users.  </w:t>
      </w:r>
      <w:r w:rsidR="00570B3E" w:rsidRPr="00B1350E">
        <w:rPr>
          <w:rFonts w:ascii="Arial" w:hAnsi="Arial" w:cs="Arial"/>
        </w:rPr>
        <w:t>Another</w:t>
      </w:r>
      <w:r w:rsidR="00A66C13" w:rsidRPr="00B1350E">
        <w:rPr>
          <w:rFonts w:ascii="Arial" w:hAnsi="Arial" w:cs="Arial"/>
        </w:rPr>
        <w:t xml:space="preserve"> priority simplif</w:t>
      </w:r>
      <w:r w:rsidR="00570B3E" w:rsidRPr="00B1350E">
        <w:rPr>
          <w:rFonts w:ascii="Arial" w:hAnsi="Arial" w:cs="Arial"/>
        </w:rPr>
        <w:t>ied</w:t>
      </w:r>
      <w:r w:rsidR="00A66C13" w:rsidRPr="00B1350E">
        <w:rPr>
          <w:rFonts w:ascii="Arial" w:hAnsi="Arial" w:cs="Arial"/>
        </w:rPr>
        <w:t xml:space="preserve"> the logic to enable easier </w:t>
      </w:r>
      <w:r w:rsidR="00C70744">
        <w:rPr>
          <w:rFonts w:ascii="Arial" w:hAnsi="Arial" w:cs="Arial"/>
        </w:rPr>
        <w:t>aggregation of data across individual projects</w:t>
      </w:r>
      <w:r w:rsidR="00A66C13" w:rsidRPr="00B1350E">
        <w:rPr>
          <w:rFonts w:ascii="Arial" w:hAnsi="Arial" w:cs="Arial"/>
        </w:rPr>
        <w:t>.</w:t>
      </w:r>
    </w:p>
    <w:p w:rsidR="00570B3E" w:rsidRPr="00B1350E" w:rsidRDefault="00FF0C5C" w:rsidP="00FF0C5C">
      <w:pPr>
        <w:tabs>
          <w:tab w:val="left" w:pos="1440"/>
        </w:tabs>
        <w:spacing w:before="120" w:after="120" w:line="360" w:lineRule="auto"/>
        <w:rPr>
          <w:rFonts w:ascii="Arial" w:hAnsi="Arial" w:cs="Arial"/>
        </w:rPr>
      </w:pPr>
      <w:r w:rsidRPr="00B1350E">
        <w:rPr>
          <w:rFonts w:ascii="Arial" w:hAnsi="Arial" w:cs="Arial"/>
        </w:rPr>
        <w:t>Th</w:t>
      </w:r>
      <w:r w:rsidR="00A66C13" w:rsidRPr="00B1350E">
        <w:rPr>
          <w:rFonts w:ascii="Arial" w:hAnsi="Arial" w:cs="Arial"/>
        </w:rPr>
        <w:t xml:space="preserve">e process for building out the solution continued to rely on </w:t>
      </w:r>
      <w:r w:rsidRPr="00B1350E">
        <w:rPr>
          <w:rFonts w:ascii="Arial" w:hAnsi="Arial" w:cs="Arial"/>
        </w:rPr>
        <w:t>incremental</w:t>
      </w:r>
      <w:r w:rsidR="00A66C13" w:rsidRPr="00B1350E">
        <w:rPr>
          <w:rFonts w:ascii="Arial" w:hAnsi="Arial" w:cs="Arial"/>
        </w:rPr>
        <w:t xml:space="preserve"> change</w:t>
      </w:r>
      <w:r w:rsidRPr="00B1350E">
        <w:rPr>
          <w:rFonts w:ascii="Arial" w:hAnsi="Arial" w:cs="Arial"/>
        </w:rPr>
        <w:t xml:space="preserve"> to </w:t>
      </w:r>
      <w:r w:rsidR="00570B3E" w:rsidRPr="00B1350E">
        <w:rPr>
          <w:rFonts w:ascii="Arial" w:hAnsi="Arial" w:cs="Arial"/>
        </w:rPr>
        <w:t xml:space="preserve">strengthen </w:t>
      </w:r>
      <w:r w:rsidRPr="00B1350E">
        <w:rPr>
          <w:rFonts w:ascii="Arial" w:hAnsi="Arial" w:cs="Arial"/>
        </w:rPr>
        <w:t xml:space="preserve">capacity </w:t>
      </w:r>
      <w:r w:rsidR="00A66C13" w:rsidRPr="00B1350E">
        <w:rPr>
          <w:rFonts w:ascii="Arial" w:hAnsi="Arial" w:cs="Arial"/>
        </w:rPr>
        <w:t xml:space="preserve">and buy-in </w:t>
      </w:r>
      <w:r w:rsidRPr="00B1350E">
        <w:rPr>
          <w:rFonts w:ascii="Arial" w:hAnsi="Arial" w:cs="Arial"/>
        </w:rPr>
        <w:t xml:space="preserve">of </w:t>
      </w:r>
      <w:r w:rsidR="00A66C13" w:rsidRPr="00B1350E">
        <w:rPr>
          <w:rFonts w:ascii="Arial" w:hAnsi="Arial" w:cs="Arial"/>
        </w:rPr>
        <w:t>the SLAA</w:t>
      </w:r>
      <w:r w:rsidR="00570B3E" w:rsidRPr="00B1350E">
        <w:rPr>
          <w:rFonts w:ascii="Arial" w:hAnsi="Arial" w:cs="Arial"/>
        </w:rPr>
        <w:t>s</w:t>
      </w:r>
      <w:r w:rsidRPr="00B1350E">
        <w:rPr>
          <w:rFonts w:ascii="Arial" w:hAnsi="Arial" w:cs="Arial"/>
        </w:rPr>
        <w:t xml:space="preserve">.  Initially, reporting would not look much different from </w:t>
      </w:r>
      <w:r w:rsidR="00A66C13" w:rsidRPr="00B1350E">
        <w:rPr>
          <w:rFonts w:ascii="Arial" w:hAnsi="Arial" w:cs="Arial"/>
        </w:rPr>
        <w:t>the present</w:t>
      </w:r>
      <w:r w:rsidR="00570B3E" w:rsidRPr="00B1350E">
        <w:rPr>
          <w:rFonts w:ascii="Arial" w:hAnsi="Arial" w:cs="Arial"/>
        </w:rPr>
        <w:t xml:space="preserve">, but </w:t>
      </w:r>
      <w:r w:rsidRPr="00B1350E">
        <w:rPr>
          <w:rFonts w:ascii="Arial" w:hAnsi="Arial" w:cs="Arial"/>
        </w:rPr>
        <w:t xml:space="preserve">information would be simplified and streamlined.  </w:t>
      </w:r>
      <w:r w:rsidR="00570B3E" w:rsidRPr="00B1350E">
        <w:rPr>
          <w:rFonts w:ascii="Arial" w:hAnsi="Arial" w:cs="Arial"/>
        </w:rPr>
        <w:t xml:space="preserve">Annual </w:t>
      </w:r>
      <w:r w:rsidRPr="00B1350E">
        <w:rPr>
          <w:rFonts w:ascii="Arial" w:hAnsi="Arial" w:cs="Arial"/>
        </w:rPr>
        <w:lastRenderedPageBreak/>
        <w:t>reporting would retain the essential need to monitor expenditures</w:t>
      </w:r>
      <w:r w:rsidR="00A66C13" w:rsidRPr="00B1350E">
        <w:rPr>
          <w:rFonts w:ascii="Arial" w:hAnsi="Arial" w:cs="Arial"/>
        </w:rPr>
        <w:t>, particularly at project levels,</w:t>
      </w:r>
      <w:r w:rsidRPr="00B1350E">
        <w:rPr>
          <w:rFonts w:ascii="Arial" w:hAnsi="Arial" w:cs="Arial"/>
        </w:rPr>
        <w:t xml:space="preserve"> but </w:t>
      </w:r>
      <w:r w:rsidR="00570B3E" w:rsidRPr="00B1350E">
        <w:rPr>
          <w:rFonts w:ascii="Arial" w:hAnsi="Arial" w:cs="Arial"/>
        </w:rPr>
        <w:t xml:space="preserve">it would </w:t>
      </w:r>
      <w:r w:rsidRPr="00B1350E">
        <w:rPr>
          <w:rFonts w:ascii="Arial" w:hAnsi="Arial" w:cs="Arial"/>
        </w:rPr>
        <w:t>improve</w:t>
      </w:r>
      <w:r w:rsidR="00A66C13" w:rsidRPr="00B1350E">
        <w:rPr>
          <w:rFonts w:ascii="Arial" w:hAnsi="Arial" w:cs="Arial"/>
        </w:rPr>
        <w:t xml:space="preserve"> the capacity </w:t>
      </w:r>
      <w:r w:rsidR="00570B3E" w:rsidRPr="00B1350E">
        <w:rPr>
          <w:rFonts w:ascii="Arial" w:hAnsi="Arial" w:cs="Arial"/>
        </w:rPr>
        <w:t xml:space="preserve">to </w:t>
      </w:r>
      <w:r w:rsidR="00A52FEE" w:rsidRPr="00C70744">
        <w:rPr>
          <w:rFonts w:ascii="Arial" w:hAnsi="Arial" w:cs="Arial"/>
        </w:rPr>
        <w:t>report</w:t>
      </w:r>
      <w:r w:rsidR="00A66C13" w:rsidRPr="00B1350E">
        <w:rPr>
          <w:rFonts w:ascii="Arial" w:hAnsi="Arial" w:cs="Arial"/>
        </w:rPr>
        <w:t xml:space="preserve"> outcomes, at least to the </w:t>
      </w:r>
      <w:r w:rsidR="00570B3E" w:rsidRPr="00B1350E">
        <w:rPr>
          <w:rFonts w:ascii="Arial" w:hAnsi="Arial" w:cs="Arial"/>
        </w:rPr>
        <w:t xml:space="preserve">extent they could be </w:t>
      </w:r>
      <w:r w:rsidR="00A66C13" w:rsidRPr="00B1350E">
        <w:rPr>
          <w:rFonts w:ascii="Arial" w:hAnsi="Arial" w:cs="Arial"/>
        </w:rPr>
        <w:t xml:space="preserve">attributed to </w:t>
      </w:r>
      <w:r w:rsidR="00570B3E" w:rsidRPr="00B1350E">
        <w:rPr>
          <w:rFonts w:ascii="Arial" w:hAnsi="Arial" w:cs="Arial"/>
        </w:rPr>
        <w:t xml:space="preserve">IMLS funding to </w:t>
      </w:r>
      <w:r w:rsidRPr="00B1350E">
        <w:rPr>
          <w:rFonts w:ascii="Arial" w:hAnsi="Arial" w:cs="Arial"/>
        </w:rPr>
        <w:t>SLAA</w:t>
      </w:r>
      <w:r w:rsidR="00570B3E" w:rsidRPr="00B1350E">
        <w:rPr>
          <w:rFonts w:ascii="Arial" w:hAnsi="Arial" w:cs="Arial"/>
        </w:rPr>
        <w:t>s</w:t>
      </w:r>
      <w:r w:rsidR="00A66C13" w:rsidRPr="00B1350E">
        <w:rPr>
          <w:rFonts w:ascii="Arial" w:hAnsi="Arial" w:cs="Arial"/>
        </w:rPr>
        <w:t xml:space="preserve"> and </w:t>
      </w:r>
      <w:r w:rsidR="00570B3E" w:rsidRPr="00B1350E">
        <w:rPr>
          <w:rFonts w:ascii="Arial" w:hAnsi="Arial" w:cs="Arial"/>
        </w:rPr>
        <w:t xml:space="preserve">their </w:t>
      </w:r>
      <w:r w:rsidR="00A66C13" w:rsidRPr="00B1350E">
        <w:rPr>
          <w:rFonts w:ascii="Arial" w:hAnsi="Arial" w:cs="Arial"/>
        </w:rPr>
        <w:t>local libraries</w:t>
      </w:r>
      <w:r w:rsidRPr="00B1350E">
        <w:rPr>
          <w:rFonts w:ascii="Arial" w:hAnsi="Arial" w:cs="Arial"/>
        </w:rPr>
        <w:t xml:space="preserve">.  </w:t>
      </w:r>
      <w:r w:rsidR="00627B31">
        <w:rPr>
          <w:rFonts w:ascii="Arial" w:hAnsi="Arial" w:cs="Arial"/>
        </w:rPr>
        <w:t>This reform also would begin to allow for better aggregation of information across individual projects.</w:t>
      </w:r>
    </w:p>
    <w:p w:rsidR="00F378DD" w:rsidRPr="00B1350E" w:rsidRDefault="00A66C13" w:rsidP="00FF0C5C">
      <w:pPr>
        <w:tabs>
          <w:tab w:val="left" w:pos="1440"/>
        </w:tabs>
        <w:spacing w:before="120" w:after="120" w:line="360" w:lineRule="auto"/>
        <w:rPr>
          <w:rFonts w:ascii="Arial" w:hAnsi="Arial" w:cs="Arial"/>
        </w:rPr>
      </w:pPr>
      <w:r w:rsidRPr="00B1350E">
        <w:rPr>
          <w:rFonts w:ascii="Arial" w:hAnsi="Arial" w:cs="Arial"/>
        </w:rPr>
        <w:t>A gradual</w:t>
      </w:r>
      <w:r w:rsidR="00FF0C5C" w:rsidRPr="00B1350E">
        <w:rPr>
          <w:rFonts w:ascii="Arial" w:hAnsi="Arial" w:cs="Arial"/>
        </w:rPr>
        <w:t xml:space="preserve"> build out </w:t>
      </w:r>
      <w:r w:rsidR="00570B3E" w:rsidRPr="00B1350E">
        <w:rPr>
          <w:rFonts w:ascii="Arial" w:hAnsi="Arial" w:cs="Arial"/>
        </w:rPr>
        <w:t xml:space="preserve">of </w:t>
      </w:r>
      <w:r w:rsidR="00FF0C5C" w:rsidRPr="00B1350E">
        <w:rPr>
          <w:rFonts w:ascii="Arial" w:hAnsi="Arial" w:cs="Arial"/>
        </w:rPr>
        <w:t xml:space="preserve">the </w:t>
      </w:r>
      <w:r w:rsidR="00570B3E" w:rsidRPr="00B1350E">
        <w:rPr>
          <w:rFonts w:ascii="Arial" w:hAnsi="Arial" w:cs="Arial"/>
        </w:rPr>
        <w:t>whole</w:t>
      </w:r>
      <w:r w:rsidR="00FF0C5C" w:rsidRPr="00B1350E">
        <w:rPr>
          <w:rFonts w:ascii="Arial" w:hAnsi="Arial" w:cs="Arial"/>
        </w:rPr>
        <w:t xml:space="preserve"> assessment framework</w:t>
      </w:r>
      <w:r w:rsidRPr="00B1350E">
        <w:rPr>
          <w:rFonts w:ascii="Arial" w:hAnsi="Arial" w:cs="Arial"/>
        </w:rPr>
        <w:t xml:space="preserve"> for</w:t>
      </w:r>
      <w:r w:rsidR="00FF0C5C" w:rsidRPr="00B1350E">
        <w:rPr>
          <w:rFonts w:ascii="Arial" w:hAnsi="Arial" w:cs="Arial"/>
        </w:rPr>
        <w:t xml:space="preserve"> user-specific </w:t>
      </w:r>
      <w:r w:rsidR="00570B3E" w:rsidRPr="00B1350E">
        <w:rPr>
          <w:rFonts w:ascii="Arial" w:hAnsi="Arial" w:cs="Arial"/>
        </w:rPr>
        <w:t xml:space="preserve">impact </w:t>
      </w:r>
      <w:r w:rsidRPr="00B1350E">
        <w:rPr>
          <w:rFonts w:ascii="Arial" w:hAnsi="Arial" w:cs="Arial"/>
        </w:rPr>
        <w:t xml:space="preserve">would happen </w:t>
      </w:r>
      <w:r w:rsidR="00C70744">
        <w:rPr>
          <w:rFonts w:ascii="Arial" w:hAnsi="Arial" w:cs="Arial"/>
        </w:rPr>
        <w:t xml:space="preserve">by piloting </w:t>
      </w:r>
      <w:r w:rsidR="00FF0C5C" w:rsidRPr="00B1350E">
        <w:rPr>
          <w:rFonts w:ascii="Arial" w:hAnsi="Arial" w:cs="Arial"/>
        </w:rPr>
        <w:t xml:space="preserve">through </w:t>
      </w:r>
      <w:r w:rsidR="00570B3E" w:rsidRPr="00B1350E">
        <w:rPr>
          <w:rFonts w:ascii="Arial" w:hAnsi="Arial" w:cs="Arial"/>
        </w:rPr>
        <w:t>volunteer SLAA</w:t>
      </w:r>
      <w:r w:rsidR="00C70744">
        <w:rPr>
          <w:rFonts w:ascii="Arial" w:hAnsi="Arial" w:cs="Arial"/>
        </w:rPr>
        <w:t>s</w:t>
      </w:r>
      <w:r w:rsidR="00FF0C5C" w:rsidRPr="00B1350E">
        <w:rPr>
          <w:rFonts w:ascii="Arial" w:hAnsi="Arial" w:cs="Arial"/>
        </w:rPr>
        <w:t xml:space="preserve">.  Building this </w:t>
      </w:r>
      <w:r w:rsidR="00570B3E" w:rsidRPr="00B1350E">
        <w:rPr>
          <w:rFonts w:ascii="Arial" w:hAnsi="Arial" w:cs="Arial"/>
        </w:rPr>
        <w:t xml:space="preserve">pilot </w:t>
      </w:r>
      <w:r w:rsidR="00FF0C5C" w:rsidRPr="00B1350E">
        <w:rPr>
          <w:rFonts w:ascii="Arial" w:hAnsi="Arial" w:cs="Arial"/>
        </w:rPr>
        <w:t>capacity w</w:t>
      </w:r>
      <w:r w:rsidR="00D13225" w:rsidRPr="00B1350E">
        <w:rPr>
          <w:rFonts w:ascii="Arial" w:hAnsi="Arial" w:cs="Arial"/>
        </w:rPr>
        <w:t>ould</w:t>
      </w:r>
      <w:r w:rsidR="00FF0C5C" w:rsidRPr="00B1350E">
        <w:rPr>
          <w:rFonts w:ascii="Arial" w:hAnsi="Arial" w:cs="Arial"/>
        </w:rPr>
        <w:t xml:space="preserve"> foster participation </w:t>
      </w:r>
      <w:r w:rsidR="00A52FEE">
        <w:rPr>
          <w:rFonts w:ascii="Arial" w:hAnsi="Arial" w:cs="Arial"/>
        </w:rPr>
        <w:t xml:space="preserve">in </w:t>
      </w:r>
      <w:r w:rsidR="00FF0C5C" w:rsidRPr="00B1350E">
        <w:rPr>
          <w:rFonts w:ascii="Arial" w:hAnsi="Arial" w:cs="Arial"/>
        </w:rPr>
        <w:t>new communities of practice among participating</w:t>
      </w:r>
      <w:r w:rsidR="00570B3E" w:rsidRPr="00B1350E">
        <w:rPr>
          <w:rFonts w:ascii="Arial" w:hAnsi="Arial" w:cs="Arial"/>
        </w:rPr>
        <w:t xml:space="preserve"> </w:t>
      </w:r>
      <w:r w:rsidR="00FF0C5C" w:rsidRPr="00B1350E">
        <w:rPr>
          <w:rFonts w:ascii="Arial" w:hAnsi="Arial" w:cs="Arial"/>
        </w:rPr>
        <w:t>states</w:t>
      </w:r>
      <w:r w:rsidR="00570B3E" w:rsidRPr="00B1350E">
        <w:rPr>
          <w:rFonts w:ascii="Arial" w:hAnsi="Arial" w:cs="Arial"/>
        </w:rPr>
        <w:t xml:space="preserve"> and their network</w:t>
      </w:r>
      <w:r w:rsidR="00FF0C5C" w:rsidRPr="00B1350E">
        <w:rPr>
          <w:rFonts w:ascii="Arial" w:hAnsi="Arial" w:cs="Arial"/>
        </w:rPr>
        <w:t>.  As their capacity increase</w:t>
      </w:r>
      <w:r w:rsidR="00FA2E63" w:rsidRPr="00B1350E">
        <w:rPr>
          <w:rFonts w:ascii="Arial" w:hAnsi="Arial" w:cs="Arial"/>
        </w:rPr>
        <w:t>d,</w:t>
      </w:r>
      <w:r w:rsidR="00FF0C5C" w:rsidRPr="00B1350E">
        <w:rPr>
          <w:rFonts w:ascii="Arial" w:hAnsi="Arial" w:cs="Arial"/>
        </w:rPr>
        <w:t xml:space="preserve"> </w:t>
      </w:r>
      <w:r w:rsidR="00FA2E63" w:rsidRPr="00B1350E">
        <w:rPr>
          <w:rFonts w:ascii="Arial" w:hAnsi="Arial" w:cs="Arial"/>
        </w:rPr>
        <w:t>diffus</w:t>
      </w:r>
      <w:r w:rsidR="00C70744">
        <w:rPr>
          <w:rFonts w:ascii="Arial" w:hAnsi="Arial" w:cs="Arial"/>
        </w:rPr>
        <w:t>ion of</w:t>
      </w:r>
      <w:r w:rsidR="00FF0C5C" w:rsidRPr="00B1350E">
        <w:rPr>
          <w:rFonts w:ascii="Arial" w:hAnsi="Arial" w:cs="Arial"/>
        </w:rPr>
        <w:t xml:space="preserve"> </w:t>
      </w:r>
      <w:r w:rsidR="00FA2E63" w:rsidRPr="00B1350E">
        <w:rPr>
          <w:rFonts w:ascii="Arial" w:hAnsi="Arial" w:cs="Arial"/>
        </w:rPr>
        <w:t xml:space="preserve">new practices </w:t>
      </w:r>
      <w:r w:rsidR="00C70744">
        <w:rPr>
          <w:rFonts w:ascii="Arial" w:hAnsi="Arial" w:cs="Arial"/>
        </w:rPr>
        <w:t>to other states would be more possible</w:t>
      </w:r>
      <w:r w:rsidR="00FF0C5C" w:rsidRPr="00B1350E">
        <w:rPr>
          <w:rFonts w:ascii="Arial" w:hAnsi="Arial" w:cs="Arial"/>
        </w:rPr>
        <w:t xml:space="preserve">.  </w:t>
      </w:r>
      <w:r w:rsidR="00627B31">
        <w:rPr>
          <w:rFonts w:ascii="Arial" w:hAnsi="Arial" w:cs="Arial"/>
        </w:rPr>
        <w:t>In addition, data would be collected and analyzed across clusters of projects that corresponded with various activities under each of the focal areas.</w:t>
      </w:r>
    </w:p>
    <w:p w:rsidR="00FF0C5C" w:rsidRPr="00B1350E" w:rsidRDefault="00627B31" w:rsidP="00FF0C5C">
      <w:pPr>
        <w:tabs>
          <w:tab w:val="left" w:pos="1440"/>
        </w:tabs>
        <w:spacing w:before="120" w:after="120" w:line="360" w:lineRule="auto"/>
        <w:rPr>
          <w:rFonts w:ascii="Arial" w:hAnsi="Arial" w:cs="Arial"/>
        </w:rPr>
      </w:pPr>
      <w:r>
        <w:rPr>
          <w:rFonts w:ascii="Arial" w:hAnsi="Arial" w:cs="Arial"/>
        </w:rPr>
        <w:t>T</w:t>
      </w:r>
      <w:r w:rsidR="00FF0C5C" w:rsidRPr="00B1350E">
        <w:rPr>
          <w:rFonts w:ascii="Arial" w:hAnsi="Arial" w:cs="Arial"/>
        </w:rPr>
        <w:t>he overall strategy in</w:t>
      </w:r>
      <w:r w:rsidR="00FA2E63" w:rsidRPr="00B1350E">
        <w:rPr>
          <w:rFonts w:ascii="Arial" w:hAnsi="Arial" w:cs="Arial"/>
        </w:rPr>
        <w:t>troduced a</w:t>
      </w:r>
      <w:r>
        <w:rPr>
          <w:rFonts w:ascii="Arial" w:hAnsi="Arial" w:cs="Arial"/>
        </w:rPr>
        <w:t>n additional</w:t>
      </w:r>
      <w:r w:rsidR="00FA2E63" w:rsidRPr="00B1350E">
        <w:rPr>
          <w:rFonts w:ascii="Arial" w:hAnsi="Arial" w:cs="Arial"/>
        </w:rPr>
        <w:t xml:space="preserve"> new wrinkle.  Instead of being confined to an annual SLAA web-based reporting system linked to mandates for </w:t>
      </w:r>
      <w:r w:rsidR="00F378DD" w:rsidRPr="00B1350E">
        <w:rPr>
          <w:rFonts w:ascii="Arial" w:hAnsi="Arial" w:cs="Arial"/>
        </w:rPr>
        <w:t>five-</w:t>
      </w:r>
      <w:r w:rsidR="00FA2E63" w:rsidRPr="00B1350E">
        <w:rPr>
          <w:rFonts w:ascii="Arial" w:hAnsi="Arial" w:cs="Arial"/>
        </w:rPr>
        <w:t xml:space="preserve">year plans and </w:t>
      </w:r>
      <w:r w:rsidR="00FA2E63" w:rsidRPr="00A52FEE">
        <w:rPr>
          <w:rFonts w:ascii="Arial" w:hAnsi="Arial" w:cs="Arial"/>
        </w:rPr>
        <w:t>evaluations</w:t>
      </w:r>
      <w:r w:rsidR="000510BF">
        <w:rPr>
          <w:rFonts w:ascii="Arial" w:hAnsi="Arial" w:cs="Arial"/>
        </w:rPr>
        <w:t xml:space="preserve"> for data collection and reporting</w:t>
      </w:r>
      <w:r w:rsidR="00FA2E63" w:rsidRPr="00A52FEE">
        <w:rPr>
          <w:rFonts w:ascii="Arial" w:hAnsi="Arial" w:cs="Arial"/>
        </w:rPr>
        <w:t xml:space="preserve">, </w:t>
      </w:r>
      <w:r w:rsidR="00FF0C5C" w:rsidRPr="00A52FEE">
        <w:rPr>
          <w:rFonts w:ascii="Arial" w:hAnsi="Arial" w:cs="Arial"/>
        </w:rPr>
        <w:t>IMLS</w:t>
      </w:r>
      <w:r w:rsidR="00FA2E63" w:rsidRPr="00A52FEE">
        <w:rPr>
          <w:rFonts w:ascii="Arial" w:hAnsi="Arial" w:cs="Arial"/>
        </w:rPr>
        <w:t xml:space="preserve"> </w:t>
      </w:r>
      <w:r w:rsidR="00F378DD" w:rsidRPr="00A52FEE">
        <w:rPr>
          <w:rFonts w:ascii="Arial" w:hAnsi="Arial" w:cs="Arial"/>
        </w:rPr>
        <w:t>w</w:t>
      </w:r>
      <w:r w:rsidR="000F4E2F" w:rsidRPr="00A52FEE">
        <w:rPr>
          <w:rFonts w:ascii="Arial" w:hAnsi="Arial" w:cs="Arial"/>
        </w:rPr>
        <w:t>ould</w:t>
      </w:r>
      <w:r w:rsidR="00F378DD" w:rsidRPr="00A52FEE">
        <w:rPr>
          <w:rFonts w:ascii="Arial" w:hAnsi="Arial" w:cs="Arial"/>
        </w:rPr>
        <w:t xml:space="preserve"> </w:t>
      </w:r>
      <w:r w:rsidR="00FA2E63" w:rsidRPr="00A52FEE">
        <w:rPr>
          <w:rFonts w:ascii="Arial" w:hAnsi="Arial" w:cs="Arial"/>
        </w:rPr>
        <w:t xml:space="preserve">exercise </w:t>
      </w:r>
      <w:r w:rsidR="00FF0C5C" w:rsidRPr="00A52FEE">
        <w:rPr>
          <w:rFonts w:ascii="Arial" w:hAnsi="Arial" w:cs="Arial"/>
        </w:rPr>
        <w:t xml:space="preserve">leadership </w:t>
      </w:r>
      <w:r w:rsidR="00FA2E63" w:rsidRPr="00A52FEE">
        <w:rPr>
          <w:rFonts w:ascii="Arial" w:hAnsi="Arial" w:cs="Arial"/>
        </w:rPr>
        <w:t xml:space="preserve">and resources </w:t>
      </w:r>
      <w:r w:rsidR="00F378DD" w:rsidRPr="00A52FEE">
        <w:rPr>
          <w:rFonts w:ascii="Arial" w:hAnsi="Arial" w:cs="Arial"/>
        </w:rPr>
        <w:t xml:space="preserve">to frame </w:t>
      </w:r>
      <w:r w:rsidR="00FF0C5C" w:rsidRPr="00A52FEE">
        <w:rPr>
          <w:rFonts w:ascii="Arial" w:hAnsi="Arial" w:cs="Arial"/>
        </w:rPr>
        <w:t>multi-s</w:t>
      </w:r>
      <w:r w:rsidR="00FA2E63" w:rsidRPr="00A52FEE">
        <w:rPr>
          <w:rFonts w:ascii="Arial" w:hAnsi="Arial" w:cs="Arial"/>
        </w:rPr>
        <w:t>ite</w:t>
      </w:r>
      <w:r w:rsidR="00FF0C5C" w:rsidRPr="00A52FEE">
        <w:rPr>
          <w:rFonts w:ascii="Arial" w:hAnsi="Arial" w:cs="Arial"/>
        </w:rPr>
        <w:t xml:space="preserve"> evaluations </w:t>
      </w:r>
      <w:r w:rsidR="00A52FEE">
        <w:rPr>
          <w:rFonts w:ascii="Arial" w:hAnsi="Arial" w:cs="Arial"/>
        </w:rPr>
        <w:t>of</w:t>
      </w:r>
      <w:r w:rsidR="00FF0C5C" w:rsidRPr="00A52FEE">
        <w:rPr>
          <w:rFonts w:ascii="Arial" w:hAnsi="Arial" w:cs="Arial"/>
        </w:rPr>
        <w:t xml:space="preserve"> </w:t>
      </w:r>
      <w:r w:rsidR="00FF0C5C" w:rsidRPr="000510BF">
        <w:rPr>
          <w:rFonts w:ascii="Arial" w:hAnsi="Arial" w:cs="Arial"/>
        </w:rPr>
        <w:t xml:space="preserve">selected </w:t>
      </w:r>
      <w:r w:rsidR="000510BF" w:rsidRPr="000510BF">
        <w:rPr>
          <w:rFonts w:ascii="Arial" w:hAnsi="Arial" w:cs="Arial"/>
        </w:rPr>
        <w:t xml:space="preserve">activities and services within </w:t>
      </w:r>
      <w:r w:rsidR="00FF0C5C" w:rsidRPr="000510BF">
        <w:rPr>
          <w:rFonts w:ascii="Arial" w:hAnsi="Arial" w:cs="Arial"/>
        </w:rPr>
        <w:t>focal areas</w:t>
      </w:r>
      <w:r w:rsidR="000510BF" w:rsidRPr="000510BF">
        <w:rPr>
          <w:rFonts w:ascii="Arial" w:hAnsi="Arial" w:cs="Arial"/>
        </w:rPr>
        <w:t xml:space="preserve"> (e.g., evaluation of a suite of childhood reading projects across a suite of local libraries under the lifelong learning focal area)</w:t>
      </w:r>
      <w:r w:rsidR="00FF0C5C" w:rsidRPr="000510BF">
        <w:rPr>
          <w:rFonts w:ascii="Arial" w:hAnsi="Arial" w:cs="Arial"/>
        </w:rPr>
        <w:t xml:space="preserve">. </w:t>
      </w:r>
    </w:p>
    <w:p w:rsidR="00FA2E63" w:rsidRPr="00627B31" w:rsidRDefault="00FA2E63" w:rsidP="00FF0C5C">
      <w:pPr>
        <w:tabs>
          <w:tab w:val="left" w:pos="1440"/>
        </w:tabs>
        <w:spacing w:before="120" w:after="120" w:line="360" w:lineRule="auto"/>
        <w:rPr>
          <w:rFonts w:ascii="Arial" w:hAnsi="Arial" w:cs="Arial"/>
          <w:b/>
          <w:sz w:val="28"/>
          <w:szCs w:val="28"/>
        </w:rPr>
      </w:pPr>
      <w:r w:rsidRPr="00627B31">
        <w:rPr>
          <w:rFonts w:ascii="Arial" w:hAnsi="Arial" w:cs="Arial"/>
          <w:b/>
          <w:sz w:val="28"/>
          <w:szCs w:val="28"/>
        </w:rPr>
        <w:t>Next Steps</w:t>
      </w:r>
    </w:p>
    <w:p w:rsidR="00FF0C5C" w:rsidRPr="00B1350E" w:rsidRDefault="00D13225" w:rsidP="00FF0C5C">
      <w:pPr>
        <w:tabs>
          <w:tab w:val="left" w:pos="1440"/>
        </w:tabs>
        <w:spacing w:before="120" w:after="120" w:line="360" w:lineRule="auto"/>
        <w:rPr>
          <w:rFonts w:ascii="Arial" w:hAnsi="Arial" w:cs="Arial"/>
        </w:rPr>
      </w:pPr>
      <w:r w:rsidRPr="00B1350E">
        <w:rPr>
          <w:rFonts w:ascii="Arial" w:hAnsi="Arial" w:cs="Arial"/>
        </w:rPr>
        <w:t xml:space="preserve">At the time of writing, IMLS is </w:t>
      </w:r>
      <w:r w:rsidR="000510BF">
        <w:rPr>
          <w:rFonts w:ascii="Arial" w:hAnsi="Arial" w:cs="Arial"/>
        </w:rPr>
        <w:t xml:space="preserve">vetting the design of the program’s new evaluation system with its </w:t>
      </w:r>
      <w:r w:rsidR="00FF0C5C" w:rsidRPr="00B1350E">
        <w:rPr>
          <w:rFonts w:ascii="Arial" w:hAnsi="Arial" w:cs="Arial"/>
        </w:rPr>
        <w:t>SLAA p</w:t>
      </w:r>
      <w:r w:rsidR="00FA2E63" w:rsidRPr="00B1350E">
        <w:rPr>
          <w:rFonts w:ascii="Arial" w:hAnsi="Arial" w:cs="Arial"/>
        </w:rPr>
        <w:t>artners</w:t>
      </w:r>
      <w:r w:rsidR="00FF0C5C" w:rsidRPr="00B1350E">
        <w:rPr>
          <w:rFonts w:ascii="Arial" w:hAnsi="Arial" w:cs="Arial"/>
        </w:rPr>
        <w:t xml:space="preserve">.  Unlike </w:t>
      </w:r>
      <w:r w:rsidR="00FA2E63" w:rsidRPr="00B1350E">
        <w:rPr>
          <w:rFonts w:ascii="Arial" w:hAnsi="Arial" w:cs="Arial"/>
        </w:rPr>
        <w:t>in</w:t>
      </w:r>
      <w:r w:rsidR="00FF0C5C" w:rsidRPr="00B1350E">
        <w:rPr>
          <w:rFonts w:ascii="Arial" w:hAnsi="Arial" w:cs="Arial"/>
        </w:rPr>
        <w:t xml:space="preserve"> 2011, the 2012 </w:t>
      </w:r>
      <w:r w:rsidRPr="00B1350E">
        <w:rPr>
          <w:rFonts w:ascii="Arial" w:hAnsi="Arial" w:cs="Arial"/>
        </w:rPr>
        <w:t>conversations</w:t>
      </w:r>
      <w:r w:rsidR="00FF0C5C" w:rsidRPr="00B1350E">
        <w:rPr>
          <w:rFonts w:ascii="Arial" w:hAnsi="Arial" w:cs="Arial"/>
        </w:rPr>
        <w:t xml:space="preserve"> </w:t>
      </w:r>
      <w:r w:rsidR="000510BF">
        <w:rPr>
          <w:rFonts w:ascii="Arial" w:hAnsi="Arial" w:cs="Arial"/>
        </w:rPr>
        <w:t>are</w:t>
      </w:r>
      <w:r w:rsidR="00FF0C5C" w:rsidRPr="00B1350E">
        <w:rPr>
          <w:rFonts w:ascii="Arial" w:hAnsi="Arial" w:cs="Arial"/>
        </w:rPr>
        <w:t xml:space="preserve"> </w:t>
      </w:r>
      <w:r w:rsidR="000510BF">
        <w:rPr>
          <w:rFonts w:ascii="Arial" w:hAnsi="Arial" w:cs="Arial"/>
        </w:rPr>
        <w:t>more grounded,</w:t>
      </w:r>
      <w:r w:rsidR="00FF0C5C" w:rsidRPr="00B1350E">
        <w:rPr>
          <w:rFonts w:ascii="Arial" w:hAnsi="Arial" w:cs="Arial"/>
        </w:rPr>
        <w:t xml:space="preserve"> encompass</w:t>
      </w:r>
      <w:r w:rsidR="000510BF">
        <w:rPr>
          <w:rFonts w:ascii="Arial" w:hAnsi="Arial" w:cs="Arial"/>
        </w:rPr>
        <w:t>ing</w:t>
      </w:r>
      <w:r w:rsidR="00FF0C5C" w:rsidRPr="00B1350E">
        <w:rPr>
          <w:rFonts w:ascii="Arial" w:hAnsi="Arial" w:cs="Arial"/>
        </w:rPr>
        <w:t xml:space="preserve"> the discussions between IMLS and </w:t>
      </w:r>
      <w:r w:rsidR="00A52FEE">
        <w:rPr>
          <w:rFonts w:ascii="Arial" w:hAnsi="Arial" w:cs="Arial"/>
        </w:rPr>
        <w:t>its</w:t>
      </w:r>
      <w:r w:rsidR="00FF0C5C" w:rsidRPr="00B1350E">
        <w:rPr>
          <w:rFonts w:ascii="Arial" w:hAnsi="Arial" w:cs="Arial"/>
        </w:rPr>
        <w:t xml:space="preserve"> SLAA partners </w:t>
      </w:r>
      <w:r w:rsidR="000510BF">
        <w:rPr>
          <w:rFonts w:ascii="Arial" w:hAnsi="Arial" w:cs="Arial"/>
        </w:rPr>
        <w:t xml:space="preserve">over the past year around </w:t>
      </w:r>
      <w:r w:rsidR="00FF0C5C" w:rsidRPr="00B1350E">
        <w:rPr>
          <w:rFonts w:ascii="Arial" w:hAnsi="Arial" w:cs="Arial"/>
        </w:rPr>
        <w:t xml:space="preserve">the </w:t>
      </w:r>
      <w:r w:rsidR="000510BF">
        <w:rPr>
          <w:rFonts w:ascii="Arial" w:hAnsi="Arial" w:cs="Arial"/>
        </w:rPr>
        <w:t>completion of the design</w:t>
      </w:r>
      <w:r w:rsidR="00FF0C5C" w:rsidRPr="00B1350E">
        <w:rPr>
          <w:rFonts w:ascii="Arial" w:hAnsi="Arial" w:cs="Arial"/>
        </w:rPr>
        <w:t xml:space="preserve"> phase </w:t>
      </w:r>
      <w:r w:rsidR="00FA2E63" w:rsidRPr="00B1350E">
        <w:rPr>
          <w:rFonts w:ascii="Arial" w:hAnsi="Arial" w:cs="Arial"/>
        </w:rPr>
        <w:t xml:space="preserve">of the </w:t>
      </w:r>
      <w:r w:rsidR="00FA2E63" w:rsidRPr="00B1350E">
        <w:rPr>
          <w:rFonts w:ascii="Arial" w:hAnsi="Arial" w:cs="Arial"/>
          <w:i/>
        </w:rPr>
        <w:t>Measuring Success</w:t>
      </w:r>
      <w:r w:rsidR="00FA2E63" w:rsidRPr="00B1350E">
        <w:rPr>
          <w:rFonts w:ascii="Arial" w:hAnsi="Arial" w:cs="Arial"/>
        </w:rPr>
        <w:t xml:space="preserve"> </w:t>
      </w:r>
      <w:r w:rsidR="00A52FEE">
        <w:rPr>
          <w:rFonts w:ascii="Arial" w:hAnsi="Arial" w:cs="Arial"/>
        </w:rPr>
        <w:t>i</w:t>
      </w:r>
      <w:r w:rsidR="00FA2E63" w:rsidRPr="00B1350E">
        <w:rPr>
          <w:rFonts w:ascii="Arial" w:hAnsi="Arial" w:cs="Arial"/>
        </w:rPr>
        <w:t>nitiative</w:t>
      </w:r>
      <w:r w:rsidR="00F378DD" w:rsidRPr="00B1350E">
        <w:rPr>
          <w:rFonts w:ascii="Arial" w:hAnsi="Arial" w:cs="Arial"/>
        </w:rPr>
        <w:t xml:space="preserve">. </w:t>
      </w:r>
      <w:r w:rsidR="00FF0C5C" w:rsidRPr="00B1350E">
        <w:rPr>
          <w:rFonts w:ascii="Arial" w:hAnsi="Arial" w:cs="Arial"/>
        </w:rPr>
        <w:t xml:space="preserve"> The plan</w:t>
      </w:r>
      <w:r w:rsidRPr="00B1350E">
        <w:rPr>
          <w:rFonts w:ascii="Arial" w:hAnsi="Arial" w:cs="Arial"/>
        </w:rPr>
        <w:t>ned design</w:t>
      </w:r>
      <w:r w:rsidR="00FF0C5C" w:rsidRPr="00B1350E">
        <w:rPr>
          <w:rFonts w:ascii="Arial" w:hAnsi="Arial" w:cs="Arial"/>
        </w:rPr>
        <w:t xml:space="preserve"> contain</w:t>
      </w:r>
      <w:r w:rsidR="00FA2E63" w:rsidRPr="00B1350E">
        <w:rPr>
          <w:rFonts w:ascii="Arial" w:hAnsi="Arial" w:cs="Arial"/>
        </w:rPr>
        <w:t>s</w:t>
      </w:r>
      <w:r w:rsidR="00FF0C5C" w:rsidRPr="00B1350E">
        <w:rPr>
          <w:rFonts w:ascii="Arial" w:hAnsi="Arial" w:cs="Arial"/>
        </w:rPr>
        <w:t xml:space="preserve"> a more logical structure for detailing the plethora of </w:t>
      </w:r>
      <w:r w:rsidR="00F378DD" w:rsidRPr="00B1350E">
        <w:rPr>
          <w:rFonts w:ascii="Arial" w:hAnsi="Arial" w:cs="Arial"/>
        </w:rPr>
        <w:t>initiatives</w:t>
      </w:r>
      <w:r w:rsidR="00FF0C5C" w:rsidRPr="00B1350E">
        <w:rPr>
          <w:rFonts w:ascii="Arial" w:hAnsi="Arial" w:cs="Arial"/>
        </w:rPr>
        <w:t xml:space="preserve"> </w:t>
      </w:r>
      <w:r w:rsidR="00F378DD" w:rsidRPr="00B1350E">
        <w:rPr>
          <w:rFonts w:ascii="Arial" w:hAnsi="Arial" w:cs="Arial"/>
        </w:rPr>
        <w:t xml:space="preserve">for which </w:t>
      </w:r>
      <w:r w:rsidR="00FF0C5C" w:rsidRPr="00B1350E">
        <w:rPr>
          <w:rFonts w:ascii="Arial" w:hAnsi="Arial" w:cs="Arial"/>
        </w:rPr>
        <w:t xml:space="preserve">SLAA partners </w:t>
      </w:r>
      <w:r w:rsidR="00F378DD" w:rsidRPr="00B1350E">
        <w:rPr>
          <w:rFonts w:ascii="Arial" w:hAnsi="Arial" w:cs="Arial"/>
        </w:rPr>
        <w:t xml:space="preserve">use </w:t>
      </w:r>
      <w:r w:rsidR="00FF0C5C" w:rsidRPr="00B1350E">
        <w:rPr>
          <w:rFonts w:ascii="Arial" w:hAnsi="Arial" w:cs="Arial"/>
        </w:rPr>
        <w:t>Grants to States funds.  The system is built on the non-linear unifying theories of change embedded in the results chains</w:t>
      </w:r>
      <w:r w:rsidR="00F378DD" w:rsidRPr="00B1350E">
        <w:rPr>
          <w:rFonts w:ascii="Arial" w:hAnsi="Arial" w:cs="Arial"/>
        </w:rPr>
        <w:t xml:space="preserve"> developed by IMLS and the SLAAs.  </w:t>
      </w:r>
      <w:r w:rsidR="00FF0C5C" w:rsidRPr="00B1350E">
        <w:rPr>
          <w:rFonts w:ascii="Arial" w:hAnsi="Arial" w:cs="Arial"/>
        </w:rPr>
        <w:t xml:space="preserve">It </w:t>
      </w:r>
      <w:r w:rsidR="00FA2E63" w:rsidRPr="00B1350E">
        <w:rPr>
          <w:rFonts w:ascii="Arial" w:hAnsi="Arial" w:cs="Arial"/>
        </w:rPr>
        <w:t>contains a</w:t>
      </w:r>
      <w:r w:rsidR="00FF0C5C" w:rsidRPr="00B1350E">
        <w:rPr>
          <w:rFonts w:ascii="Arial" w:hAnsi="Arial" w:cs="Arial"/>
        </w:rPr>
        <w:t xml:space="preserve"> m</w:t>
      </w:r>
      <w:r w:rsidR="00FA2E63" w:rsidRPr="00B1350E">
        <w:rPr>
          <w:rFonts w:ascii="Arial" w:hAnsi="Arial" w:cs="Arial"/>
        </w:rPr>
        <w:t xml:space="preserve">ore logical approach to measurement and </w:t>
      </w:r>
      <w:r w:rsidR="00FF0C5C" w:rsidRPr="00B1350E">
        <w:rPr>
          <w:rFonts w:ascii="Arial" w:hAnsi="Arial" w:cs="Arial"/>
        </w:rPr>
        <w:t xml:space="preserve">assessment </w:t>
      </w:r>
      <w:r w:rsidR="00F378DD" w:rsidRPr="00B1350E">
        <w:rPr>
          <w:rFonts w:ascii="Arial" w:hAnsi="Arial" w:cs="Arial"/>
        </w:rPr>
        <w:t xml:space="preserve">and </w:t>
      </w:r>
      <w:r w:rsidR="00FF0C5C" w:rsidRPr="00B1350E">
        <w:rPr>
          <w:rFonts w:ascii="Arial" w:hAnsi="Arial" w:cs="Arial"/>
        </w:rPr>
        <w:t xml:space="preserve">enables individual projects to be systematically sorted into coherent clusters for higher-level assessments of particular library </w:t>
      </w:r>
      <w:r w:rsidR="00F378DD" w:rsidRPr="00B1350E">
        <w:rPr>
          <w:rFonts w:ascii="Arial" w:hAnsi="Arial" w:cs="Arial"/>
        </w:rPr>
        <w:t>initiatives</w:t>
      </w:r>
      <w:r w:rsidR="00FA2E63" w:rsidRPr="00B1350E">
        <w:rPr>
          <w:rFonts w:ascii="Arial" w:hAnsi="Arial" w:cs="Arial"/>
        </w:rPr>
        <w:t xml:space="preserve"> </w:t>
      </w:r>
      <w:r w:rsidR="00FF0C5C" w:rsidRPr="00B1350E">
        <w:rPr>
          <w:rFonts w:ascii="Arial" w:hAnsi="Arial" w:cs="Arial"/>
        </w:rPr>
        <w:t>for each SLAA and the nation at</w:t>
      </w:r>
      <w:r w:rsidR="00F378DD" w:rsidRPr="00B1350E">
        <w:rPr>
          <w:rFonts w:ascii="Arial" w:hAnsi="Arial" w:cs="Arial"/>
        </w:rPr>
        <w:t xml:space="preserve"> </w:t>
      </w:r>
      <w:r w:rsidR="00FF0C5C" w:rsidRPr="00B1350E">
        <w:rPr>
          <w:rFonts w:ascii="Arial" w:hAnsi="Arial" w:cs="Arial"/>
        </w:rPr>
        <w:t>large.</w:t>
      </w:r>
    </w:p>
    <w:p w:rsidR="00FF0C5C" w:rsidRPr="00B1350E" w:rsidRDefault="00FF0C5C" w:rsidP="00FF0C5C">
      <w:pPr>
        <w:tabs>
          <w:tab w:val="left" w:pos="1440"/>
        </w:tabs>
        <w:spacing w:before="120" w:after="120" w:line="360" w:lineRule="auto"/>
        <w:rPr>
          <w:rFonts w:ascii="Arial" w:hAnsi="Arial" w:cs="Arial"/>
        </w:rPr>
      </w:pPr>
      <w:r w:rsidRPr="00B1350E">
        <w:rPr>
          <w:rFonts w:ascii="Arial" w:hAnsi="Arial" w:cs="Arial"/>
        </w:rPr>
        <w:t xml:space="preserve">The plan </w:t>
      </w:r>
      <w:r w:rsidR="00A52FEE">
        <w:rPr>
          <w:rFonts w:ascii="Arial" w:hAnsi="Arial" w:cs="Arial"/>
        </w:rPr>
        <w:t>also</w:t>
      </w:r>
      <w:r w:rsidRPr="00B1350E">
        <w:rPr>
          <w:rFonts w:ascii="Arial" w:hAnsi="Arial" w:cs="Arial"/>
        </w:rPr>
        <w:t xml:space="preserve"> details next steps in the </w:t>
      </w:r>
      <w:r w:rsidRPr="00B1350E">
        <w:rPr>
          <w:rFonts w:ascii="Arial" w:hAnsi="Arial" w:cs="Arial"/>
          <w:i/>
        </w:rPr>
        <w:t>Measuring Success</w:t>
      </w:r>
      <w:r w:rsidRPr="00B1350E">
        <w:rPr>
          <w:rFonts w:ascii="Arial" w:hAnsi="Arial" w:cs="Arial"/>
        </w:rPr>
        <w:t xml:space="preserve"> initiative</w:t>
      </w:r>
      <w:r w:rsidR="00F378DD" w:rsidRPr="00B1350E">
        <w:rPr>
          <w:rFonts w:ascii="Arial" w:hAnsi="Arial" w:cs="Arial"/>
        </w:rPr>
        <w:t>, including</w:t>
      </w:r>
      <w:r w:rsidRPr="00B1350E">
        <w:rPr>
          <w:rFonts w:ascii="Arial" w:hAnsi="Arial" w:cs="Arial"/>
        </w:rPr>
        <w:t xml:space="preserve"> </w:t>
      </w:r>
      <w:r w:rsidR="000510BF">
        <w:rPr>
          <w:rFonts w:ascii="Arial" w:hAnsi="Arial" w:cs="Arial"/>
        </w:rPr>
        <w:t xml:space="preserve">a </w:t>
      </w:r>
      <w:r w:rsidRPr="00B1350E">
        <w:rPr>
          <w:rFonts w:ascii="Arial" w:hAnsi="Arial" w:cs="Arial"/>
        </w:rPr>
        <w:t xml:space="preserve">roll-out of a new performance reporting system </w:t>
      </w:r>
      <w:r w:rsidR="00ED2F33">
        <w:rPr>
          <w:rFonts w:ascii="Arial" w:hAnsi="Arial" w:cs="Arial"/>
        </w:rPr>
        <w:t xml:space="preserve">and </w:t>
      </w:r>
      <w:r w:rsidRPr="00B1350E">
        <w:rPr>
          <w:rFonts w:ascii="Arial" w:hAnsi="Arial" w:cs="Arial"/>
        </w:rPr>
        <w:t xml:space="preserve">SLAA partners that have volunteered to </w:t>
      </w:r>
      <w:r w:rsidRPr="00B1350E">
        <w:rPr>
          <w:rFonts w:ascii="Arial" w:hAnsi="Arial" w:cs="Arial"/>
        </w:rPr>
        <w:lastRenderedPageBreak/>
        <w:t>pilot the</w:t>
      </w:r>
      <w:r w:rsidR="00ED2F33">
        <w:rPr>
          <w:rFonts w:ascii="Arial" w:hAnsi="Arial" w:cs="Arial"/>
        </w:rPr>
        <w:t>se</w:t>
      </w:r>
      <w:r w:rsidRPr="00B1350E">
        <w:rPr>
          <w:rFonts w:ascii="Arial" w:hAnsi="Arial" w:cs="Arial"/>
        </w:rPr>
        <w:t xml:space="preserve"> innovations.  The high level of </w:t>
      </w:r>
      <w:r w:rsidR="00F378DD" w:rsidRPr="00B1350E">
        <w:rPr>
          <w:rFonts w:ascii="Arial" w:hAnsi="Arial" w:cs="Arial"/>
        </w:rPr>
        <w:t xml:space="preserve">collaboration </w:t>
      </w:r>
      <w:r w:rsidRPr="00B1350E">
        <w:rPr>
          <w:rFonts w:ascii="Arial" w:hAnsi="Arial" w:cs="Arial"/>
        </w:rPr>
        <w:t>using virtual and other technologies continue</w:t>
      </w:r>
      <w:r w:rsidR="000F4E2F" w:rsidRPr="00B1350E">
        <w:rPr>
          <w:rFonts w:ascii="Arial" w:hAnsi="Arial" w:cs="Arial"/>
        </w:rPr>
        <w:t>s</w:t>
      </w:r>
      <w:r w:rsidRPr="00B1350E">
        <w:rPr>
          <w:rFonts w:ascii="Arial" w:hAnsi="Arial" w:cs="Arial"/>
        </w:rPr>
        <w:t xml:space="preserve">.  Emphasis </w:t>
      </w:r>
      <w:r w:rsidR="000F4E2F" w:rsidRPr="00B1350E">
        <w:rPr>
          <w:rFonts w:ascii="Arial" w:hAnsi="Arial" w:cs="Arial"/>
        </w:rPr>
        <w:t>is placed on</w:t>
      </w:r>
      <w:r w:rsidRPr="00B1350E">
        <w:rPr>
          <w:rFonts w:ascii="Arial" w:hAnsi="Arial" w:cs="Arial"/>
        </w:rPr>
        <w:t xml:space="preserve"> creating and nurturing new communities of practice, diffusion, reflection</w:t>
      </w:r>
      <w:r w:rsidR="00F378DD" w:rsidRPr="00B1350E">
        <w:rPr>
          <w:rFonts w:ascii="Arial" w:hAnsi="Arial" w:cs="Arial"/>
        </w:rPr>
        <w:t>,</w:t>
      </w:r>
      <w:r w:rsidRPr="00B1350E">
        <w:rPr>
          <w:rFonts w:ascii="Arial" w:hAnsi="Arial" w:cs="Arial"/>
        </w:rPr>
        <w:t xml:space="preserve"> and adaptation for continuous learning.</w:t>
      </w:r>
    </w:p>
    <w:p w:rsidR="000510BF" w:rsidRPr="00627B31" w:rsidRDefault="000510BF" w:rsidP="00FF0C5C">
      <w:pPr>
        <w:tabs>
          <w:tab w:val="left" w:pos="1440"/>
        </w:tabs>
        <w:spacing w:before="120" w:after="120" w:line="360" w:lineRule="auto"/>
        <w:rPr>
          <w:rFonts w:ascii="Arial" w:hAnsi="Arial" w:cs="Arial"/>
          <w:b/>
          <w:sz w:val="28"/>
          <w:szCs w:val="28"/>
        </w:rPr>
      </w:pPr>
      <w:r w:rsidRPr="00627B31">
        <w:rPr>
          <w:rFonts w:ascii="Arial" w:hAnsi="Arial" w:cs="Arial"/>
          <w:b/>
          <w:sz w:val="28"/>
          <w:szCs w:val="28"/>
        </w:rPr>
        <w:t>Discussion</w:t>
      </w:r>
    </w:p>
    <w:p w:rsidR="00191F5C" w:rsidRDefault="00A67172" w:rsidP="00FF0C5C">
      <w:pPr>
        <w:tabs>
          <w:tab w:val="left" w:pos="1440"/>
        </w:tabs>
        <w:spacing w:before="120" w:after="120" w:line="360" w:lineRule="auto"/>
        <w:rPr>
          <w:rFonts w:ascii="Arial" w:hAnsi="Arial" w:cs="Arial"/>
        </w:rPr>
      </w:pPr>
      <w:r w:rsidRPr="00B1350E">
        <w:rPr>
          <w:rFonts w:ascii="Arial" w:hAnsi="Arial" w:cs="Arial"/>
        </w:rPr>
        <w:t>The</w:t>
      </w:r>
      <w:r w:rsidR="00ED2F33">
        <w:rPr>
          <w:rFonts w:ascii="Arial" w:hAnsi="Arial" w:cs="Arial"/>
        </w:rPr>
        <w:t xml:space="preserve"> </w:t>
      </w:r>
      <w:r w:rsidRPr="00B1350E">
        <w:rPr>
          <w:rFonts w:ascii="Arial" w:hAnsi="Arial" w:cs="Arial"/>
        </w:rPr>
        <w:t>author</w:t>
      </w:r>
      <w:r w:rsidR="000510BF">
        <w:rPr>
          <w:rFonts w:ascii="Arial" w:hAnsi="Arial" w:cs="Arial"/>
        </w:rPr>
        <w:t>s</w:t>
      </w:r>
      <w:r w:rsidR="00FF0C5C" w:rsidRPr="00B1350E">
        <w:rPr>
          <w:rFonts w:ascii="Arial" w:hAnsi="Arial" w:cs="Arial"/>
        </w:rPr>
        <w:t xml:space="preserve"> expected that the </w:t>
      </w:r>
      <w:r w:rsidRPr="00B1350E">
        <w:rPr>
          <w:rFonts w:ascii="Arial" w:hAnsi="Arial" w:cs="Arial"/>
        </w:rPr>
        <w:t>flaws in</w:t>
      </w:r>
      <w:r w:rsidR="00FF0C5C" w:rsidRPr="00B1350E">
        <w:rPr>
          <w:rFonts w:ascii="Arial" w:hAnsi="Arial" w:cs="Arial"/>
        </w:rPr>
        <w:t xml:space="preserve"> logic models would manifest as a major lesson</w:t>
      </w:r>
      <w:r w:rsidRPr="00B1350E">
        <w:rPr>
          <w:rFonts w:ascii="Arial" w:hAnsi="Arial" w:cs="Arial"/>
        </w:rPr>
        <w:t xml:space="preserve"> for participants in this initiative</w:t>
      </w:r>
      <w:r w:rsidR="000510BF">
        <w:rPr>
          <w:rFonts w:ascii="Arial" w:hAnsi="Arial" w:cs="Arial"/>
        </w:rPr>
        <w:t>.</w:t>
      </w:r>
      <w:r w:rsidRPr="00B1350E">
        <w:rPr>
          <w:rFonts w:ascii="Arial" w:hAnsi="Arial" w:cs="Arial"/>
        </w:rPr>
        <w:t xml:space="preserve"> </w:t>
      </w:r>
      <w:r w:rsidR="000510BF">
        <w:rPr>
          <w:rFonts w:ascii="Arial" w:hAnsi="Arial" w:cs="Arial"/>
        </w:rPr>
        <w:t xml:space="preserve"> T</w:t>
      </w:r>
      <w:r w:rsidRPr="00B1350E">
        <w:rPr>
          <w:rFonts w:ascii="Arial" w:hAnsi="Arial" w:cs="Arial"/>
        </w:rPr>
        <w:t xml:space="preserve">his is believed to be </w:t>
      </w:r>
      <w:r w:rsidR="00F32309" w:rsidRPr="00B1350E">
        <w:rPr>
          <w:rFonts w:ascii="Arial" w:hAnsi="Arial" w:cs="Arial"/>
        </w:rPr>
        <w:t>true</w:t>
      </w:r>
      <w:r w:rsidRPr="00B1350E">
        <w:rPr>
          <w:rFonts w:ascii="Arial" w:hAnsi="Arial" w:cs="Arial"/>
        </w:rPr>
        <w:t xml:space="preserve">.  </w:t>
      </w:r>
      <w:r w:rsidR="00FF0C5C" w:rsidRPr="00B1350E">
        <w:rPr>
          <w:rFonts w:ascii="Arial" w:hAnsi="Arial" w:cs="Arial"/>
        </w:rPr>
        <w:t xml:space="preserve">Logic </w:t>
      </w:r>
      <w:r w:rsidR="00191F5C" w:rsidRPr="00B1350E">
        <w:rPr>
          <w:rFonts w:ascii="Arial" w:hAnsi="Arial" w:cs="Arial"/>
        </w:rPr>
        <w:t>models</w:t>
      </w:r>
      <w:r w:rsidR="00FF0C5C" w:rsidRPr="00B1350E">
        <w:rPr>
          <w:rFonts w:ascii="Arial" w:hAnsi="Arial" w:cs="Arial"/>
        </w:rPr>
        <w:t xml:space="preserve"> have </w:t>
      </w:r>
      <w:r w:rsidR="004A1358" w:rsidRPr="00B1350E">
        <w:rPr>
          <w:rFonts w:ascii="Arial" w:hAnsi="Arial" w:cs="Arial"/>
        </w:rPr>
        <w:t xml:space="preserve">demonstrated </w:t>
      </w:r>
      <w:r w:rsidR="00FF0C5C" w:rsidRPr="00B1350E">
        <w:rPr>
          <w:rFonts w:ascii="Arial" w:hAnsi="Arial" w:cs="Arial"/>
        </w:rPr>
        <w:t xml:space="preserve">limits.  The approach adopted in </w:t>
      </w:r>
      <w:r w:rsidR="00FF0C5C" w:rsidRPr="00B1350E">
        <w:rPr>
          <w:rFonts w:ascii="Arial" w:hAnsi="Arial" w:cs="Arial"/>
          <w:i/>
        </w:rPr>
        <w:t>Measuring Success</w:t>
      </w:r>
      <w:r w:rsidR="00F32309" w:rsidRPr="00B1350E">
        <w:rPr>
          <w:rFonts w:ascii="Arial" w:hAnsi="Arial" w:cs="Arial"/>
          <w:i/>
        </w:rPr>
        <w:t>,</w:t>
      </w:r>
      <w:r w:rsidR="00FF0C5C" w:rsidRPr="00B1350E">
        <w:rPr>
          <w:rFonts w:ascii="Arial" w:hAnsi="Arial" w:cs="Arial"/>
        </w:rPr>
        <w:t xml:space="preserve"> using backwards and forwards logic maps</w:t>
      </w:r>
      <w:r w:rsidR="00F32309" w:rsidRPr="00B1350E">
        <w:rPr>
          <w:rFonts w:ascii="Arial" w:hAnsi="Arial" w:cs="Arial"/>
        </w:rPr>
        <w:t>,</w:t>
      </w:r>
      <w:r w:rsidR="00FF0C5C" w:rsidRPr="00B1350E">
        <w:rPr>
          <w:rFonts w:ascii="Arial" w:hAnsi="Arial" w:cs="Arial"/>
        </w:rPr>
        <w:t xml:space="preserve"> </w:t>
      </w:r>
      <w:r w:rsidR="00ED2F33">
        <w:rPr>
          <w:rFonts w:ascii="Arial" w:hAnsi="Arial" w:cs="Arial"/>
        </w:rPr>
        <w:t xml:space="preserve">has </w:t>
      </w:r>
      <w:r w:rsidR="00FF0C5C" w:rsidRPr="00B1350E">
        <w:rPr>
          <w:rFonts w:ascii="Arial" w:hAnsi="Arial" w:cs="Arial"/>
        </w:rPr>
        <w:t xml:space="preserve">provided an effective alternative to </w:t>
      </w:r>
      <w:r w:rsidR="00F32309" w:rsidRPr="00B1350E">
        <w:rPr>
          <w:rFonts w:ascii="Arial" w:hAnsi="Arial" w:cs="Arial"/>
        </w:rPr>
        <w:t xml:space="preserve">IMLS’s </w:t>
      </w:r>
      <w:r w:rsidR="00FF0C5C" w:rsidRPr="00B1350E">
        <w:rPr>
          <w:rFonts w:ascii="Arial" w:hAnsi="Arial" w:cs="Arial"/>
        </w:rPr>
        <w:t>OBE</w:t>
      </w:r>
      <w:r w:rsidR="00191F5C" w:rsidRPr="00B1350E">
        <w:rPr>
          <w:rFonts w:ascii="Arial" w:hAnsi="Arial" w:cs="Arial"/>
        </w:rPr>
        <w:t xml:space="preserve"> </w:t>
      </w:r>
      <w:r w:rsidR="00F32309" w:rsidRPr="00B1350E">
        <w:rPr>
          <w:rFonts w:ascii="Arial" w:hAnsi="Arial" w:cs="Arial"/>
        </w:rPr>
        <w:t xml:space="preserve">architecture </w:t>
      </w:r>
      <w:r w:rsidR="00191F5C" w:rsidRPr="00B1350E">
        <w:rPr>
          <w:rFonts w:ascii="Arial" w:hAnsi="Arial" w:cs="Arial"/>
        </w:rPr>
        <w:t>in allowing p</w:t>
      </w:r>
      <w:r w:rsidR="00FF0C5C" w:rsidRPr="00B1350E">
        <w:rPr>
          <w:rFonts w:ascii="Arial" w:hAnsi="Arial" w:cs="Arial"/>
        </w:rPr>
        <w:t xml:space="preserve">articipants to </w:t>
      </w:r>
      <w:r w:rsidR="00191F5C" w:rsidRPr="00B1350E">
        <w:rPr>
          <w:rFonts w:ascii="Arial" w:hAnsi="Arial" w:cs="Arial"/>
        </w:rPr>
        <w:t xml:space="preserve">better </w:t>
      </w:r>
      <w:r w:rsidR="00FF0C5C" w:rsidRPr="00B1350E">
        <w:rPr>
          <w:rFonts w:ascii="Arial" w:hAnsi="Arial" w:cs="Arial"/>
        </w:rPr>
        <w:t xml:space="preserve">articulate the major types of library services and </w:t>
      </w:r>
      <w:r w:rsidR="00F32309" w:rsidRPr="00B1350E">
        <w:rPr>
          <w:rFonts w:ascii="Arial" w:hAnsi="Arial" w:cs="Arial"/>
        </w:rPr>
        <w:t>programs that</w:t>
      </w:r>
      <w:r w:rsidR="00FF0C5C" w:rsidRPr="00B1350E">
        <w:rPr>
          <w:rFonts w:ascii="Arial" w:hAnsi="Arial" w:cs="Arial"/>
        </w:rPr>
        <w:t xml:space="preserve"> libraries </w:t>
      </w:r>
      <w:r w:rsidR="00191F5C" w:rsidRPr="00B1350E">
        <w:rPr>
          <w:rFonts w:ascii="Arial" w:hAnsi="Arial" w:cs="Arial"/>
        </w:rPr>
        <w:t xml:space="preserve">actually </w:t>
      </w:r>
      <w:r w:rsidR="00FF0C5C" w:rsidRPr="00B1350E">
        <w:rPr>
          <w:rFonts w:ascii="Arial" w:hAnsi="Arial" w:cs="Arial"/>
        </w:rPr>
        <w:t xml:space="preserve">deliver </w:t>
      </w:r>
      <w:r w:rsidR="00ED2F33">
        <w:rPr>
          <w:rFonts w:ascii="Arial" w:hAnsi="Arial" w:cs="Arial"/>
        </w:rPr>
        <w:t>using</w:t>
      </w:r>
      <w:r w:rsidR="00FF0C5C" w:rsidRPr="00B1350E">
        <w:rPr>
          <w:rFonts w:ascii="Arial" w:hAnsi="Arial" w:cs="Arial"/>
        </w:rPr>
        <w:t xml:space="preserve"> Grants to States funds.  </w:t>
      </w:r>
      <w:r w:rsidR="00ED2F33">
        <w:rPr>
          <w:rFonts w:ascii="Arial" w:hAnsi="Arial" w:cs="Arial"/>
        </w:rPr>
        <w:t>It allows f</w:t>
      </w:r>
      <w:r w:rsidR="00191F5C" w:rsidRPr="00B1350E">
        <w:rPr>
          <w:rFonts w:ascii="Arial" w:hAnsi="Arial" w:cs="Arial"/>
        </w:rPr>
        <w:t xml:space="preserve">or non-linear relationships.  </w:t>
      </w:r>
      <w:r w:rsidR="00ED2F33">
        <w:rPr>
          <w:rFonts w:ascii="Arial" w:hAnsi="Arial" w:cs="Arial"/>
        </w:rPr>
        <w:t>Participants have</w:t>
      </w:r>
      <w:r w:rsidR="00FF0C5C" w:rsidRPr="00B1350E">
        <w:rPr>
          <w:rFonts w:ascii="Arial" w:hAnsi="Arial" w:cs="Arial"/>
        </w:rPr>
        <w:t xml:space="preserve"> embraced dynamic environmental interactions, leading to an emerging theory of change that embed</w:t>
      </w:r>
      <w:r w:rsidR="00ED2F33">
        <w:rPr>
          <w:rFonts w:ascii="Arial" w:hAnsi="Arial" w:cs="Arial"/>
        </w:rPr>
        <w:t>s</w:t>
      </w:r>
      <w:r w:rsidR="00FF0C5C" w:rsidRPr="00B1350E">
        <w:rPr>
          <w:rFonts w:ascii="Arial" w:hAnsi="Arial" w:cs="Arial"/>
        </w:rPr>
        <w:t xml:space="preserve"> a social network of interdependent actors</w:t>
      </w:r>
      <w:r w:rsidR="00191F5C" w:rsidRPr="00B1350E">
        <w:rPr>
          <w:rFonts w:ascii="Arial" w:hAnsi="Arial" w:cs="Arial"/>
        </w:rPr>
        <w:t>.</w:t>
      </w:r>
    </w:p>
    <w:p w:rsidR="00AB08E1" w:rsidRPr="00B1350E" w:rsidRDefault="00AB08E1" w:rsidP="00FF0C5C">
      <w:pPr>
        <w:tabs>
          <w:tab w:val="left" w:pos="1440"/>
        </w:tabs>
        <w:spacing w:before="120" w:after="120" w:line="360" w:lineRule="auto"/>
        <w:rPr>
          <w:rFonts w:ascii="Arial" w:hAnsi="Arial" w:cs="Arial"/>
        </w:rPr>
      </w:pPr>
      <w:r>
        <w:rPr>
          <w:rFonts w:ascii="Arial" w:hAnsi="Arial" w:cs="Arial"/>
        </w:rPr>
        <w:t>The approach using the backward and forward logic maps also had another intentional benefit.  Logic models present</w:t>
      </w:r>
      <w:r w:rsidR="00C16023">
        <w:rPr>
          <w:rFonts w:ascii="Arial" w:hAnsi="Arial" w:cs="Arial"/>
        </w:rPr>
        <w:t>ed</w:t>
      </w:r>
      <w:r>
        <w:rPr>
          <w:rFonts w:ascii="Arial" w:hAnsi="Arial" w:cs="Arial"/>
        </w:rPr>
        <w:t xml:space="preserve"> a simple and attractive way of integrating planning with assessment</w:t>
      </w:r>
      <w:r w:rsidR="00627B31">
        <w:rPr>
          <w:rFonts w:ascii="Arial" w:hAnsi="Arial" w:cs="Arial"/>
        </w:rPr>
        <w:t xml:space="preserve"> when OBE was initially introduced to Grants to States in 1997</w:t>
      </w:r>
      <w:r>
        <w:rPr>
          <w:rFonts w:ascii="Arial" w:hAnsi="Arial" w:cs="Arial"/>
        </w:rPr>
        <w:t xml:space="preserve">.  The logic maps </w:t>
      </w:r>
      <w:r w:rsidR="00C16023">
        <w:rPr>
          <w:rFonts w:ascii="Arial" w:hAnsi="Arial" w:cs="Arial"/>
        </w:rPr>
        <w:t xml:space="preserve">introduced in the </w:t>
      </w:r>
      <w:r w:rsidR="00C16023" w:rsidRPr="00C16023">
        <w:rPr>
          <w:rFonts w:ascii="Arial" w:hAnsi="Arial" w:cs="Arial"/>
          <w:i/>
        </w:rPr>
        <w:t>Measuring Success</w:t>
      </w:r>
      <w:r w:rsidR="00C16023">
        <w:rPr>
          <w:rFonts w:ascii="Arial" w:hAnsi="Arial" w:cs="Arial"/>
        </w:rPr>
        <w:t xml:space="preserve"> initiative </w:t>
      </w:r>
      <w:r>
        <w:rPr>
          <w:rFonts w:ascii="Arial" w:hAnsi="Arial" w:cs="Arial"/>
        </w:rPr>
        <w:t xml:space="preserve">significantly increased the strength and quality of the integration.  The logic maps focused explicitly on issues surrounding planning in better specifying precisely what the various activities captured in Grants to States’ various focal areas intended to achieve in benefitting specific segments of the American public.  Stakeholder acceptance of the new approach to outcome based evaluation (or, more broadly, results based management) resulted </w:t>
      </w:r>
      <w:r w:rsidR="00627B31">
        <w:rPr>
          <w:rFonts w:ascii="Arial" w:hAnsi="Arial" w:cs="Arial"/>
        </w:rPr>
        <w:t xml:space="preserve">in large </w:t>
      </w:r>
      <w:r>
        <w:rPr>
          <w:rFonts w:ascii="Arial" w:hAnsi="Arial" w:cs="Arial"/>
        </w:rPr>
        <w:t>because of thi</w:t>
      </w:r>
      <w:r w:rsidR="00536733">
        <w:rPr>
          <w:rFonts w:ascii="Arial" w:hAnsi="Arial" w:cs="Arial"/>
        </w:rPr>
        <w:t>s greater capacity of logic mapping</w:t>
      </w:r>
      <w:r>
        <w:rPr>
          <w:rFonts w:ascii="Arial" w:hAnsi="Arial" w:cs="Arial"/>
        </w:rPr>
        <w:t xml:space="preserve">.  Further, the increased quality of articulation of program intentions </w:t>
      </w:r>
      <w:r w:rsidR="00627B31">
        <w:rPr>
          <w:rFonts w:ascii="Arial" w:hAnsi="Arial" w:cs="Arial"/>
        </w:rPr>
        <w:t xml:space="preserve">using the forward logic maps </w:t>
      </w:r>
      <w:r>
        <w:rPr>
          <w:rFonts w:ascii="Arial" w:hAnsi="Arial" w:cs="Arial"/>
        </w:rPr>
        <w:t>enabled the ability to develop a more sophisticated and clearer logic for assessment and measurement.</w:t>
      </w:r>
    </w:p>
    <w:p w:rsidR="001F631C" w:rsidRPr="00B1350E" w:rsidRDefault="00FF0C5C" w:rsidP="001F631C">
      <w:pPr>
        <w:tabs>
          <w:tab w:val="left" w:pos="1440"/>
        </w:tabs>
        <w:spacing w:before="120" w:after="120" w:line="360" w:lineRule="auto"/>
        <w:rPr>
          <w:rFonts w:ascii="Arial" w:hAnsi="Arial" w:cs="Arial"/>
        </w:rPr>
      </w:pPr>
      <w:r w:rsidRPr="00B1350E">
        <w:rPr>
          <w:rFonts w:ascii="Arial" w:hAnsi="Arial" w:cs="Arial"/>
        </w:rPr>
        <w:t xml:space="preserve">Nonetheless, logic models were only one </w:t>
      </w:r>
      <w:r w:rsidR="00ED2F33">
        <w:rPr>
          <w:rFonts w:ascii="Arial" w:hAnsi="Arial" w:cs="Arial"/>
        </w:rPr>
        <w:t>challenge</w:t>
      </w:r>
      <w:r w:rsidRPr="00B1350E">
        <w:rPr>
          <w:rFonts w:ascii="Arial" w:hAnsi="Arial" w:cs="Arial"/>
        </w:rPr>
        <w:t xml:space="preserve"> in changing an entire culture </w:t>
      </w:r>
      <w:r w:rsidR="00191F5C" w:rsidRPr="00B1350E">
        <w:rPr>
          <w:rFonts w:ascii="Arial" w:hAnsi="Arial" w:cs="Arial"/>
        </w:rPr>
        <w:t xml:space="preserve">formed around prior </w:t>
      </w:r>
      <w:r w:rsidR="00ED2F33" w:rsidRPr="00B1350E">
        <w:rPr>
          <w:rFonts w:ascii="Arial" w:hAnsi="Arial" w:cs="Arial"/>
        </w:rPr>
        <w:t xml:space="preserve">program evaluation </w:t>
      </w:r>
      <w:r w:rsidR="00191F5C" w:rsidRPr="00B1350E">
        <w:rPr>
          <w:rFonts w:ascii="Arial" w:hAnsi="Arial" w:cs="Arial"/>
        </w:rPr>
        <w:t>experiences</w:t>
      </w:r>
      <w:r w:rsidR="00ED2F33">
        <w:rPr>
          <w:rFonts w:ascii="Arial" w:hAnsi="Arial" w:cs="Arial"/>
        </w:rPr>
        <w:t xml:space="preserve">. </w:t>
      </w:r>
      <w:r w:rsidRPr="00B1350E">
        <w:rPr>
          <w:rFonts w:ascii="Arial" w:hAnsi="Arial" w:cs="Arial"/>
        </w:rPr>
        <w:t xml:space="preserve"> </w:t>
      </w:r>
      <w:r w:rsidR="00191F5C" w:rsidRPr="00B1350E">
        <w:rPr>
          <w:rFonts w:ascii="Arial" w:hAnsi="Arial" w:cs="Arial"/>
        </w:rPr>
        <w:t xml:space="preserve">In </w:t>
      </w:r>
      <w:r w:rsidR="004B764F" w:rsidRPr="00B1350E">
        <w:rPr>
          <w:rFonts w:ascii="Arial" w:hAnsi="Arial" w:cs="Arial"/>
        </w:rPr>
        <w:t>particular</w:t>
      </w:r>
      <w:r w:rsidR="00191F5C" w:rsidRPr="00B1350E">
        <w:rPr>
          <w:rFonts w:ascii="Arial" w:hAnsi="Arial" w:cs="Arial"/>
        </w:rPr>
        <w:t xml:space="preserve">, </w:t>
      </w:r>
      <w:r w:rsidR="00F32309" w:rsidRPr="00B1350E">
        <w:rPr>
          <w:rFonts w:ascii="Arial" w:hAnsi="Arial" w:cs="Arial"/>
        </w:rPr>
        <w:t xml:space="preserve">IMLS’s </w:t>
      </w:r>
      <w:r w:rsidRPr="00B1350E">
        <w:rPr>
          <w:rFonts w:ascii="Arial" w:hAnsi="Arial" w:cs="Arial"/>
        </w:rPr>
        <w:t xml:space="preserve">evaluation </w:t>
      </w:r>
      <w:r w:rsidR="00A666B2">
        <w:rPr>
          <w:rFonts w:ascii="Arial" w:hAnsi="Arial" w:cs="Arial"/>
        </w:rPr>
        <w:t xml:space="preserve">approach in Grants to States </w:t>
      </w:r>
      <w:r w:rsidR="00ED2F33">
        <w:rPr>
          <w:rFonts w:ascii="Arial" w:hAnsi="Arial" w:cs="Arial"/>
        </w:rPr>
        <w:t xml:space="preserve">decentralized </w:t>
      </w:r>
      <w:r w:rsidR="001F631C">
        <w:rPr>
          <w:rFonts w:ascii="Arial" w:hAnsi="Arial" w:cs="Arial"/>
        </w:rPr>
        <w:t>data collection and analysis in</w:t>
      </w:r>
      <w:r w:rsidR="00ED2F33">
        <w:rPr>
          <w:rFonts w:ascii="Arial" w:hAnsi="Arial" w:cs="Arial"/>
        </w:rPr>
        <w:t xml:space="preserve"> </w:t>
      </w:r>
      <w:r w:rsidRPr="00B1350E">
        <w:rPr>
          <w:rFonts w:ascii="Arial" w:hAnsi="Arial" w:cs="Arial"/>
        </w:rPr>
        <w:t>individual project grants without systematic links</w:t>
      </w:r>
      <w:r w:rsidR="00191F5C" w:rsidRPr="00B1350E">
        <w:rPr>
          <w:rFonts w:ascii="Arial" w:hAnsi="Arial" w:cs="Arial"/>
        </w:rPr>
        <w:t xml:space="preserve"> </w:t>
      </w:r>
      <w:r w:rsidR="00F32309" w:rsidRPr="00B1350E">
        <w:rPr>
          <w:rFonts w:ascii="Arial" w:hAnsi="Arial" w:cs="Arial"/>
        </w:rPr>
        <w:t>to support broadly</w:t>
      </w:r>
      <w:r w:rsidR="00191F5C" w:rsidRPr="00B1350E">
        <w:rPr>
          <w:rFonts w:ascii="Arial" w:hAnsi="Arial" w:cs="Arial"/>
        </w:rPr>
        <w:t xml:space="preserve"> useful collection and analysis of data for state and federal decision making.  </w:t>
      </w:r>
      <w:r w:rsidR="001F631C" w:rsidRPr="00B1350E">
        <w:rPr>
          <w:rFonts w:ascii="Arial" w:hAnsi="Arial" w:cs="Arial"/>
        </w:rPr>
        <w:t xml:space="preserve">Whether fortuitous or otherwise, the forward and </w:t>
      </w:r>
      <w:r w:rsidR="001F631C" w:rsidRPr="00B1350E">
        <w:rPr>
          <w:rFonts w:ascii="Arial" w:hAnsi="Arial" w:cs="Arial"/>
        </w:rPr>
        <w:lastRenderedPageBreak/>
        <w:t xml:space="preserve">backward logic maps in the </w:t>
      </w:r>
      <w:r w:rsidR="001F631C" w:rsidRPr="00B1350E">
        <w:rPr>
          <w:rFonts w:ascii="Arial" w:hAnsi="Arial" w:cs="Arial"/>
          <w:i/>
        </w:rPr>
        <w:t>Measuring Success</w:t>
      </w:r>
      <w:r w:rsidR="001F631C" w:rsidRPr="00B1350E">
        <w:rPr>
          <w:rFonts w:ascii="Arial" w:hAnsi="Arial" w:cs="Arial"/>
        </w:rPr>
        <w:t xml:space="preserve"> initiative enabled development of solutions that allow scaling of individual projects into clusters of similar activities using the derived focal areas as a foundation.  This foundation has led to construction of a logical </w:t>
      </w:r>
      <w:r w:rsidR="001F631C">
        <w:rPr>
          <w:rFonts w:ascii="Arial" w:hAnsi="Arial" w:cs="Arial"/>
        </w:rPr>
        <w:t>r</w:t>
      </w:r>
      <w:r w:rsidR="001F631C" w:rsidRPr="00B1350E">
        <w:rPr>
          <w:rFonts w:ascii="Arial" w:hAnsi="Arial" w:cs="Arial"/>
        </w:rPr>
        <w:t>eporting structure that should greatly increase the effectiveness of overall monitoring of expended funds and performance for individual projects when clustered into their hierarchical groupings.</w:t>
      </w:r>
      <w:r w:rsidR="001F631C">
        <w:rPr>
          <w:rFonts w:ascii="Arial" w:hAnsi="Arial" w:cs="Arial"/>
        </w:rPr>
        <w:t xml:space="preserve">  We anticipate it will be both more effective and more persuasive in showing the value of libraries to the public.</w:t>
      </w:r>
    </w:p>
    <w:p w:rsidR="00ED2F33" w:rsidRDefault="00ED2F33" w:rsidP="00FF0C5C">
      <w:pPr>
        <w:tabs>
          <w:tab w:val="left" w:pos="1440"/>
        </w:tabs>
        <w:spacing w:before="120" w:after="120" w:line="360" w:lineRule="auto"/>
        <w:rPr>
          <w:rFonts w:ascii="Arial" w:hAnsi="Arial" w:cs="Arial"/>
        </w:rPr>
      </w:pPr>
    </w:p>
    <w:p w:rsidR="00927D9A" w:rsidRPr="00B1350E" w:rsidRDefault="00927D9A" w:rsidP="00FF0C5C">
      <w:pPr>
        <w:tabs>
          <w:tab w:val="left" w:pos="1440"/>
        </w:tabs>
        <w:spacing w:before="120" w:after="120" w:line="360" w:lineRule="auto"/>
        <w:rPr>
          <w:rFonts w:ascii="Arial" w:hAnsi="Arial" w:cs="Arial"/>
        </w:rPr>
      </w:pPr>
      <w:r w:rsidRPr="00B1350E">
        <w:rPr>
          <w:rFonts w:ascii="Arial" w:hAnsi="Arial" w:cs="Arial"/>
        </w:rPr>
        <w:t xml:space="preserve">The capacity of the </w:t>
      </w:r>
      <w:r w:rsidR="001F631C">
        <w:rPr>
          <w:rFonts w:ascii="Arial" w:hAnsi="Arial" w:cs="Arial"/>
        </w:rPr>
        <w:t xml:space="preserve">new </w:t>
      </w:r>
      <w:r w:rsidRPr="00B1350E">
        <w:rPr>
          <w:rFonts w:ascii="Arial" w:hAnsi="Arial" w:cs="Arial"/>
        </w:rPr>
        <w:t xml:space="preserve">evaluation </w:t>
      </w:r>
      <w:r w:rsidR="001F631C">
        <w:rPr>
          <w:rFonts w:ascii="Arial" w:hAnsi="Arial" w:cs="Arial"/>
        </w:rPr>
        <w:t>approach</w:t>
      </w:r>
      <w:r w:rsidRPr="00B1350E">
        <w:rPr>
          <w:rFonts w:ascii="Arial" w:hAnsi="Arial" w:cs="Arial"/>
        </w:rPr>
        <w:t xml:space="preserve"> to function more effectively across multiple levels was directly related to the introduction of systems theory thinking.  A structured social network linking a suite of actors is critical for evaluating the effectiveness of a wide array of library services supported through Grants to States.  The same is true for the introduction of environmental opportunities and threats as </w:t>
      </w:r>
      <w:r w:rsidR="00ED2F33" w:rsidRPr="000510BF">
        <w:rPr>
          <w:rFonts w:ascii="Arial" w:hAnsi="Arial" w:cs="Arial"/>
        </w:rPr>
        <w:t xml:space="preserve">action </w:t>
      </w:r>
      <w:r w:rsidRPr="000510BF">
        <w:rPr>
          <w:rFonts w:ascii="Arial" w:hAnsi="Arial" w:cs="Arial"/>
        </w:rPr>
        <w:t>points</w:t>
      </w:r>
      <w:r w:rsidRPr="00B1350E">
        <w:rPr>
          <w:rFonts w:ascii="Arial" w:hAnsi="Arial" w:cs="Arial"/>
        </w:rPr>
        <w:t xml:space="preserve"> in program planning and monitoring.  Th</w:t>
      </w:r>
      <w:r w:rsidR="004C21D8" w:rsidRPr="00B1350E">
        <w:rPr>
          <w:rFonts w:ascii="Arial" w:hAnsi="Arial" w:cs="Arial"/>
        </w:rPr>
        <w:t>ese precepts are essential for understanding the realities of any community-based program</w:t>
      </w:r>
      <w:r w:rsidR="00ED2F33">
        <w:rPr>
          <w:rFonts w:ascii="Arial" w:hAnsi="Arial" w:cs="Arial"/>
        </w:rPr>
        <w:t xml:space="preserve">, </w:t>
      </w:r>
      <w:r w:rsidR="00ED2F33" w:rsidRPr="000510BF">
        <w:rPr>
          <w:rFonts w:ascii="Arial" w:hAnsi="Arial" w:cs="Arial"/>
        </w:rPr>
        <w:t>with those of a local library a core example</w:t>
      </w:r>
      <w:r w:rsidR="00ED2F33">
        <w:rPr>
          <w:rFonts w:ascii="Arial" w:hAnsi="Arial" w:cs="Arial"/>
        </w:rPr>
        <w:t xml:space="preserve">.  </w:t>
      </w:r>
      <w:r w:rsidR="004C21D8" w:rsidRPr="00B1350E">
        <w:rPr>
          <w:rFonts w:ascii="Arial" w:hAnsi="Arial" w:cs="Arial"/>
        </w:rPr>
        <w:t xml:space="preserve">They are expected to yield huge future dividends when stakeholders begin to consider applying evidence emerging from this new evaluation </w:t>
      </w:r>
      <w:r w:rsidR="00A666B2">
        <w:rPr>
          <w:rFonts w:ascii="Arial" w:hAnsi="Arial" w:cs="Arial"/>
        </w:rPr>
        <w:t>approach</w:t>
      </w:r>
      <w:r w:rsidR="0011009A" w:rsidRPr="00B1350E">
        <w:rPr>
          <w:rFonts w:ascii="Arial" w:hAnsi="Arial" w:cs="Arial"/>
        </w:rPr>
        <w:t>.  There is huge potential for generalizing this insight to a slew of other library service endeavors grounded in rich community relationships.</w:t>
      </w:r>
    </w:p>
    <w:p w:rsidR="00C547D8" w:rsidRPr="009A1F16" w:rsidRDefault="00FF0C5C" w:rsidP="00FF0C5C">
      <w:pPr>
        <w:tabs>
          <w:tab w:val="left" w:pos="1440"/>
        </w:tabs>
        <w:spacing w:before="120" w:after="120" w:line="360" w:lineRule="auto"/>
        <w:rPr>
          <w:rFonts w:ascii="Arial" w:hAnsi="Arial" w:cs="Arial"/>
          <w:b/>
        </w:rPr>
      </w:pPr>
      <w:r w:rsidRPr="00B1350E">
        <w:rPr>
          <w:rFonts w:ascii="Arial" w:hAnsi="Arial" w:cs="Arial"/>
        </w:rPr>
        <w:t>A major factor that will determine the effectiveness of th</w:t>
      </w:r>
      <w:r w:rsidR="00A666B2">
        <w:rPr>
          <w:rFonts w:ascii="Arial" w:hAnsi="Arial" w:cs="Arial"/>
        </w:rPr>
        <w:t>is new</w:t>
      </w:r>
      <w:r w:rsidRPr="00B1350E">
        <w:rPr>
          <w:rFonts w:ascii="Arial" w:hAnsi="Arial" w:cs="Arial"/>
        </w:rPr>
        <w:t xml:space="preserve"> </w:t>
      </w:r>
      <w:r w:rsidR="00D13225" w:rsidRPr="00B1350E">
        <w:rPr>
          <w:rFonts w:ascii="Arial" w:hAnsi="Arial" w:cs="Arial"/>
        </w:rPr>
        <w:t xml:space="preserve">evaluation </w:t>
      </w:r>
      <w:r w:rsidRPr="00B1350E">
        <w:rPr>
          <w:rFonts w:ascii="Arial" w:hAnsi="Arial" w:cs="Arial"/>
        </w:rPr>
        <w:t xml:space="preserve">approach will be its usefulness to various stakeholders </w:t>
      </w:r>
      <w:r w:rsidRPr="000510BF">
        <w:rPr>
          <w:rFonts w:ascii="Arial" w:hAnsi="Arial" w:cs="Arial"/>
        </w:rPr>
        <w:t>(Patton, 2008).</w:t>
      </w:r>
      <w:r w:rsidRPr="00B1350E">
        <w:rPr>
          <w:rFonts w:ascii="Arial" w:hAnsi="Arial" w:cs="Arial"/>
        </w:rPr>
        <w:t xml:space="preserve">  The process </w:t>
      </w:r>
      <w:r w:rsidR="001F631C">
        <w:rPr>
          <w:rFonts w:ascii="Arial" w:hAnsi="Arial" w:cs="Arial"/>
        </w:rPr>
        <w:t xml:space="preserve">used </w:t>
      </w:r>
      <w:r w:rsidR="00A666B2">
        <w:rPr>
          <w:rFonts w:ascii="Arial" w:hAnsi="Arial" w:cs="Arial"/>
        </w:rPr>
        <w:t>in</w:t>
      </w:r>
      <w:r w:rsidR="001F631C">
        <w:rPr>
          <w:rFonts w:ascii="Arial" w:hAnsi="Arial" w:cs="Arial"/>
        </w:rPr>
        <w:t xml:space="preserve"> launching</w:t>
      </w:r>
      <w:r w:rsidR="00A666B2">
        <w:rPr>
          <w:rFonts w:ascii="Arial" w:hAnsi="Arial" w:cs="Arial"/>
        </w:rPr>
        <w:t xml:space="preserve"> </w:t>
      </w:r>
      <w:r w:rsidR="00A666B2">
        <w:rPr>
          <w:rFonts w:ascii="Arial" w:hAnsi="Arial" w:cs="Arial"/>
          <w:i/>
        </w:rPr>
        <w:t xml:space="preserve">Measuring Success </w:t>
      </w:r>
      <w:r w:rsidRPr="00B1350E">
        <w:rPr>
          <w:rFonts w:ascii="Arial" w:hAnsi="Arial" w:cs="Arial"/>
        </w:rPr>
        <w:t xml:space="preserve">has increased the likelihood of </w:t>
      </w:r>
      <w:r w:rsidR="00D13225" w:rsidRPr="00B1350E">
        <w:rPr>
          <w:rFonts w:ascii="Arial" w:hAnsi="Arial" w:cs="Arial"/>
        </w:rPr>
        <w:t>such</w:t>
      </w:r>
      <w:r w:rsidRPr="00B1350E">
        <w:rPr>
          <w:rFonts w:ascii="Arial" w:hAnsi="Arial" w:cs="Arial"/>
        </w:rPr>
        <w:t xml:space="preserve"> success.   SLAA participants can see their fingerprints on the entire </w:t>
      </w:r>
      <w:r w:rsidR="00316EAD" w:rsidRPr="00B1350E">
        <w:rPr>
          <w:rFonts w:ascii="Arial" w:hAnsi="Arial" w:cs="Arial"/>
        </w:rPr>
        <w:t xml:space="preserve">scheme </w:t>
      </w:r>
      <w:r w:rsidRPr="00B1350E">
        <w:rPr>
          <w:rFonts w:ascii="Arial" w:hAnsi="Arial" w:cs="Arial"/>
        </w:rPr>
        <w:t>as they drove the content</w:t>
      </w:r>
      <w:r w:rsidR="004A1358" w:rsidRPr="00B1350E">
        <w:rPr>
          <w:rFonts w:ascii="Arial" w:hAnsi="Arial" w:cs="Arial"/>
        </w:rPr>
        <w:t>,</w:t>
      </w:r>
      <w:r w:rsidRPr="00B1350E">
        <w:rPr>
          <w:rFonts w:ascii="Arial" w:hAnsi="Arial" w:cs="Arial"/>
        </w:rPr>
        <w:t xml:space="preserve"> with</w:t>
      </w:r>
      <w:r w:rsidR="004A1358" w:rsidRPr="00B1350E">
        <w:rPr>
          <w:rFonts w:ascii="Arial" w:hAnsi="Arial" w:cs="Arial"/>
        </w:rPr>
        <w:t xml:space="preserve"> active </w:t>
      </w:r>
      <w:r w:rsidRPr="00B1350E">
        <w:rPr>
          <w:rFonts w:ascii="Arial" w:hAnsi="Arial" w:cs="Arial"/>
        </w:rPr>
        <w:t xml:space="preserve">IMLS </w:t>
      </w:r>
      <w:r w:rsidR="004A1358" w:rsidRPr="00B1350E">
        <w:rPr>
          <w:rFonts w:ascii="Arial" w:hAnsi="Arial" w:cs="Arial"/>
        </w:rPr>
        <w:t>leadership and fulfillment</w:t>
      </w:r>
      <w:r w:rsidRPr="00B1350E">
        <w:rPr>
          <w:rFonts w:ascii="Arial" w:hAnsi="Arial" w:cs="Arial"/>
        </w:rPr>
        <w:t xml:space="preserve">.  </w:t>
      </w:r>
      <w:r w:rsidR="00191F5C" w:rsidRPr="00B1350E">
        <w:rPr>
          <w:rFonts w:ascii="Arial" w:hAnsi="Arial" w:cs="Arial"/>
        </w:rPr>
        <w:t xml:space="preserve">With greater </w:t>
      </w:r>
      <w:r w:rsidRPr="00B1350E">
        <w:rPr>
          <w:rFonts w:ascii="Arial" w:hAnsi="Arial" w:cs="Arial"/>
        </w:rPr>
        <w:t>ownership</w:t>
      </w:r>
      <w:r w:rsidR="00191F5C" w:rsidRPr="00B1350E">
        <w:rPr>
          <w:rFonts w:ascii="Arial" w:hAnsi="Arial" w:cs="Arial"/>
        </w:rPr>
        <w:t xml:space="preserve"> of the product</w:t>
      </w:r>
      <w:r w:rsidRPr="00B1350E">
        <w:rPr>
          <w:rFonts w:ascii="Arial" w:hAnsi="Arial" w:cs="Arial"/>
        </w:rPr>
        <w:t>, the</w:t>
      </w:r>
      <w:r w:rsidR="00191F5C" w:rsidRPr="00B1350E">
        <w:rPr>
          <w:rFonts w:ascii="Arial" w:hAnsi="Arial" w:cs="Arial"/>
        </w:rPr>
        <w:t xml:space="preserve"> SLAA partners and IMLS</w:t>
      </w:r>
      <w:r w:rsidR="009A1F16">
        <w:rPr>
          <w:rFonts w:ascii="Arial" w:hAnsi="Arial" w:cs="Arial"/>
        </w:rPr>
        <w:t xml:space="preserve"> </w:t>
      </w:r>
      <w:r w:rsidR="009A1F16" w:rsidRPr="000510BF">
        <w:rPr>
          <w:rFonts w:ascii="Arial" w:hAnsi="Arial" w:cs="Arial"/>
        </w:rPr>
        <w:t>program staff</w:t>
      </w:r>
      <w:r w:rsidR="00191F5C" w:rsidRPr="00B1350E">
        <w:rPr>
          <w:rFonts w:ascii="Arial" w:hAnsi="Arial" w:cs="Arial"/>
        </w:rPr>
        <w:t xml:space="preserve"> </w:t>
      </w:r>
      <w:r w:rsidR="009A1F16">
        <w:rPr>
          <w:rFonts w:ascii="Arial" w:hAnsi="Arial" w:cs="Arial"/>
        </w:rPr>
        <w:t>are</w:t>
      </w:r>
      <w:r w:rsidRPr="00B1350E">
        <w:rPr>
          <w:rFonts w:ascii="Arial" w:hAnsi="Arial" w:cs="Arial"/>
        </w:rPr>
        <w:t xml:space="preserve"> </w:t>
      </w:r>
      <w:r w:rsidR="00191F5C" w:rsidRPr="00B1350E">
        <w:rPr>
          <w:rFonts w:ascii="Arial" w:hAnsi="Arial" w:cs="Arial"/>
        </w:rPr>
        <w:t>more likely to</w:t>
      </w:r>
      <w:r w:rsidRPr="00B1350E">
        <w:rPr>
          <w:rFonts w:ascii="Arial" w:hAnsi="Arial" w:cs="Arial"/>
        </w:rPr>
        <w:t xml:space="preserve"> valu</w:t>
      </w:r>
      <w:r w:rsidR="00191F5C" w:rsidRPr="00B1350E">
        <w:rPr>
          <w:rFonts w:ascii="Arial" w:hAnsi="Arial" w:cs="Arial"/>
        </w:rPr>
        <w:t>e</w:t>
      </w:r>
      <w:r w:rsidRPr="00B1350E">
        <w:rPr>
          <w:rFonts w:ascii="Arial" w:hAnsi="Arial" w:cs="Arial"/>
        </w:rPr>
        <w:t xml:space="preserve"> i</w:t>
      </w:r>
      <w:r w:rsidR="00BE360A" w:rsidRPr="00B1350E">
        <w:rPr>
          <w:rFonts w:ascii="Arial" w:hAnsi="Arial" w:cs="Arial"/>
        </w:rPr>
        <w:t>t, ap</w:t>
      </w:r>
      <w:r w:rsidR="009A1F16">
        <w:rPr>
          <w:rFonts w:ascii="Arial" w:hAnsi="Arial" w:cs="Arial"/>
        </w:rPr>
        <w:t>ply it, and find it more useful</w:t>
      </w:r>
      <w:r w:rsidRPr="00B1350E">
        <w:rPr>
          <w:rFonts w:ascii="Arial" w:hAnsi="Arial" w:cs="Arial"/>
        </w:rPr>
        <w:t xml:space="preserve">.  </w:t>
      </w:r>
    </w:p>
    <w:p w:rsidR="009A1F16" w:rsidRDefault="004A1358" w:rsidP="00FF0C5C">
      <w:pPr>
        <w:tabs>
          <w:tab w:val="left" w:pos="1440"/>
        </w:tabs>
        <w:spacing w:before="120" w:after="120" w:line="360" w:lineRule="auto"/>
        <w:rPr>
          <w:rFonts w:ascii="Arial" w:hAnsi="Arial" w:cs="Arial"/>
        </w:rPr>
      </w:pPr>
      <w:r w:rsidRPr="00B1350E">
        <w:rPr>
          <w:rFonts w:ascii="Arial" w:hAnsi="Arial" w:cs="Arial"/>
        </w:rPr>
        <w:t>T</w:t>
      </w:r>
      <w:r w:rsidR="00191F5C" w:rsidRPr="00B1350E">
        <w:rPr>
          <w:rFonts w:ascii="Arial" w:hAnsi="Arial" w:cs="Arial"/>
        </w:rPr>
        <w:t>echnical, administrative</w:t>
      </w:r>
      <w:r w:rsidRPr="00B1350E">
        <w:rPr>
          <w:rFonts w:ascii="Arial" w:hAnsi="Arial" w:cs="Arial"/>
        </w:rPr>
        <w:t>,</w:t>
      </w:r>
      <w:r w:rsidR="00191F5C" w:rsidRPr="00B1350E">
        <w:rPr>
          <w:rFonts w:ascii="Arial" w:hAnsi="Arial" w:cs="Arial"/>
        </w:rPr>
        <w:t xml:space="preserve"> and political </w:t>
      </w:r>
      <w:r w:rsidR="00FF0C5C" w:rsidRPr="00B1350E">
        <w:rPr>
          <w:rFonts w:ascii="Arial" w:hAnsi="Arial" w:cs="Arial"/>
        </w:rPr>
        <w:t>uncertainties</w:t>
      </w:r>
      <w:r w:rsidRPr="00B1350E">
        <w:rPr>
          <w:rFonts w:ascii="Arial" w:hAnsi="Arial" w:cs="Arial"/>
        </w:rPr>
        <w:t xml:space="preserve"> remain</w:t>
      </w:r>
      <w:r w:rsidR="00191F5C" w:rsidRPr="00B1350E">
        <w:rPr>
          <w:rFonts w:ascii="Arial" w:hAnsi="Arial" w:cs="Arial"/>
        </w:rPr>
        <w:t xml:space="preserve">.  </w:t>
      </w:r>
      <w:r w:rsidR="00FF0C5C" w:rsidRPr="00B1350E">
        <w:rPr>
          <w:rFonts w:ascii="Arial" w:hAnsi="Arial" w:cs="Arial"/>
        </w:rPr>
        <w:t>Prior habits that have shaped understanding about what evaluation entails</w:t>
      </w:r>
      <w:r w:rsidRPr="00B1350E">
        <w:rPr>
          <w:rFonts w:ascii="Arial" w:hAnsi="Arial" w:cs="Arial"/>
        </w:rPr>
        <w:t xml:space="preserve">, particularly </w:t>
      </w:r>
      <w:r w:rsidR="00FF0C5C" w:rsidRPr="00B1350E">
        <w:rPr>
          <w:rFonts w:ascii="Arial" w:hAnsi="Arial" w:cs="Arial"/>
        </w:rPr>
        <w:t>the emphasis o</w:t>
      </w:r>
      <w:r w:rsidRPr="00B1350E">
        <w:rPr>
          <w:rFonts w:ascii="Arial" w:hAnsi="Arial" w:cs="Arial"/>
        </w:rPr>
        <w:t>n</w:t>
      </w:r>
      <w:r w:rsidR="00FF0C5C" w:rsidRPr="00B1350E">
        <w:rPr>
          <w:rFonts w:ascii="Arial" w:hAnsi="Arial" w:cs="Arial"/>
        </w:rPr>
        <w:t xml:space="preserve"> </w:t>
      </w:r>
      <w:r w:rsidR="00191F5C" w:rsidRPr="00B1350E">
        <w:rPr>
          <w:rFonts w:ascii="Arial" w:hAnsi="Arial" w:cs="Arial"/>
        </w:rPr>
        <w:t xml:space="preserve">tracking expended funds and </w:t>
      </w:r>
      <w:r w:rsidRPr="00B1350E">
        <w:rPr>
          <w:rFonts w:ascii="Arial" w:hAnsi="Arial" w:cs="Arial"/>
        </w:rPr>
        <w:t>assessing</w:t>
      </w:r>
      <w:r w:rsidR="00191F5C" w:rsidRPr="00B1350E">
        <w:rPr>
          <w:rFonts w:ascii="Arial" w:hAnsi="Arial" w:cs="Arial"/>
        </w:rPr>
        <w:t xml:space="preserve"> outcomes </w:t>
      </w:r>
      <w:r w:rsidRPr="000510BF">
        <w:rPr>
          <w:rFonts w:ascii="Arial" w:hAnsi="Arial" w:cs="Arial"/>
        </w:rPr>
        <w:t xml:space="preserve">for </w:t>
      </w:r>
      <w:r w:rsidR="009A1F16" w:rsidRPr="000510BF">
        <w:rPr>
          <w:rFonts w:ascii="Arial" w:hAnsi="Arial" w:cs="Arial"/>
        </w:rPr>
        <w:t>individual and</w:t>
      </w:r>
      <w:r w:rsidR="009A1F16">
        <w:rPr>
          <w:rFonts w:ascii="Arial" w:hAnsi="Arial" w:cs="Arial"/>
        </w:rPr>
        <w:t xml:space="preserve"> </w:t>
      </w:r>
      <w:r w:rsidR="006651B7" w:rsidRPr="00B1350E">
        <w:rPr>
          <w:rFonts w:ascii="Arial" w:hAnsi="Arial" w:cs="Arial"/>
        </w:rPr>
        <w:t>widely disparate</w:t>
      </w:r>
      <w:r w:rsidR="00191F5C" w:rsidRPr="00B1350E">
        <w:rPr>
          <w:rFonts w:ascii="Arial" w:hAnsi="Arial" w:cs="Arial"/>
        </w:rPr>
        <w:t xml:space="preserve"> projects </w:t>
      </w:r>
      <w:r w:rsidR="00FF0C5C" w:rsidRPr="00B1350E">
        <w:rPr>
          <w:rFonts w:ascii="Arial" w:hAnsi="Arial" w:cs="Arial"/>
        </w:rPr>
        <w:t xml:space="preserve">remains a core mindset </w:t>
      </w:r>
      <w:r w:rsidRPr="00B1350E">
        <w:rPr>
          <w:rFonts w:ascii="Arial" w:hAnsi="Arial" w:cs="Arial"/>
        </w:rPr>
        <w:t xml:space="preserve">among many SLAA and IMLS staff </w:t>
      </w:r>
      <w:r w:rsidR="00FF0C5C" w:rsidRPr="00B1350E">
        <w:rPr>
          <w:rFonts w:ascii="Arial" w:hAnsi="Arial" w:cs="Arial"/>
        </w:rPr>
        <w:t xml:space="preserve">despite the </w:t>
      </w:r>
      <w:r w:rsidR="00FF0C5C" w:rsidRPr="00B1350E">
        <w:rPr>
          <w:rFonts w:ascii="Arial" w:hAnsi="Arial" w:cs="Arial"/>
        </w:rPr>
        <w:lastRenderedPageBreak/>
        <w:t>progress made over the past year</w:t>
      </w:r>
      <w:r w:rsidR="00536733">
        <w:rPr>
          <w:rFonts w:ascii="Arial" w:hAnsi="Arial" w:cs="Arial"/>
        </w:rPr>
        <w:t xml:space="preserve"> with the launching of the </w:t>
      </w:r>
      <w:r w:rsidR="00536733" w:rsidRPr="00A666B2">
        <w:rPr>
          <w:rFonts w:ascii="Arial" w:hAnsi="Arial" w:cs="Arial"/>
          <w:i/>
        </w:rPr>
        <w:t>Measuring Success</w:t>
      </w:r>
      <w:r w:rsidR="00536733">
        <w:rPr>
          <w:rFonts w:ascii="Arial" w:hAnsi="Arial" w:cs="Arial"/>
        </w:rPr>
        <w:t xml:space="preserve"> Initiative</w:t>
      </w:r>
      <w:r w:rsidR="00B771C6" w:rsidRPr="00B1350E">
        <w:rPr>
          <w:rFonts w:ascii="Arial" w:hAnsi="Arial" w:cs="Arial"/>
        </w:rPr>
        <w:t xml:space="preserve">.  </w:t>
      </w:r>
    </w:p>
    <w:p w:rsidR="000510BF" w:rsidRDefault="00B771C6" w:rsidP="00FF0C5C">
      <w:pPr>
        <w:tabs>
          <w:tab w:val="left" w:pos="1440"/>
        </w:tabs>
        <w:spacing w:before="120" w:after="120" w:line="360" w:lineRule="auto"/>
        <w:rPr>
          <w:rFonts w:ascii="Arial" w:hAnsi="Arial" w:cs="Arial"/>
        </w:rPr>
      </w:pPr>
      <w:r w:rsidRPr="00B1350E">
        <w:rPr>
          <w:rFonts w:ascii="Arial" w:hAnsi="Arial" w:cs="Arial"/>
        </w:rPr>
        <w:t>Change takes consistency, iteration, and time.</w:t>
      </w:r>
      <w:r w:rsidR="00FF0C5C" w:rsidRPr="00B1350E">
        <w:rPr>
          <w:rFonts w:ascii="Arial" w:hAnsi="Arial" w:cs="Arial"/>
        </w:rPr>
        <w:t xml:space="preserve"> </w:t>
      </w:r>
      <w:r w:rsidR="000510BF">
        <w:rPr>
          <w:rFonts w:ascii="Arial" w:hAnsi="Arial" w:cs="Arial"/>
        </w:rPr>
        <w:t xml:space="preserve">The point of this case study is that change is historical.  The changes made thus far in introducing a new </w:t>
      </w:r>
      <w:r w:rsidR="00536733">
        <w:rPr>
          <w:rFonts w:ascii="Arial" w:hAnsi="Arial" w:cs="Arial"/>
        </w:rPr>
        <w:t>OBE</w:t>
      </w:r>
      <w:r w:rsidR="000510BF">
        <w:rPr>
          <w:rFonts w:ascii="Arial" w:hAnsi="Arial" w:cs="Arial"/>
        </w:rPr>
        <w:t xml:space="preserve"> approach </w:t>
      </w:r>
      <w:r w:rsidR="00536733">
        <w:rPr>
          <w:rFonts w:ascii="Arial" w:hAnsi="Arial" w:cs="Arial"/>
        </w:rPr>
        <w:t xml:space="preserve">linking program planning with assessment </w:t>
      </w:r>
      <w:r w:rsidR="000510BF">
        <w:rPr>
          <w:rFonts w:ascii="Arial" w:hAnsi="Arial" w:cs="Arial"/>
        </w:rPr>
        <w:t>would not have been possible if there had not been experience with a prior one</w:t>
      </w:r>
      <w:r w:rsidR="001F631C">
        <w:rPr>
          <w:rFonts w:ascii="Arial" w:hAnsi="Arial" w:cs="Arial"/>
        </w:rPr>
        <w:t xml:space="preserve"> using logic models</w:t>
      </w:r>
      <w:r w:rsidR="000510BF">
        <w:rPr>
          <w:rFonts w:ascii="Arial" w:hAnsi="Arial" w:cs="Arial"/>
        </w:rPr>
        <w:t>. The prior approach reflected dominant professional thinking at the time of introduction 15 years ago.  Correspondingly, e</w:t>
      </w:r>
      <w:r w:rsidR="00191F5C" w:rsidRPr="00B1350E">
        <w:rPr>
          <w:rFonts w:ascii="Arial" w:hAnsi="Arial" w:cs="Arial"/>
        </w:rPr>
        <w:t xml:space="preserve">ven if </w:t>
      </w:r>
      <w:r w:rsidR="000510BF">
        <w:rPr>
          <w:rFonts w:ascii="Arial" w:hAnsi="Arial" w:cs="Arial"/>
        </w:rPr>
        <w:t xml:space="preserve">progress continues in instituting </w:t>
      </w:r>
      <w:r w:rsidR="00191F5C" w:rsidRPr="00B1350E">
        <w:rPr>
          <w:rFonts w:ascii="Arial" w:hAnsi="Arial" w:cs="Arial"/>
        </w:rPr>
        <w:t xml:space="preserve">a </w:t>
      </w:r>
      <w:r w:rsidR="00316EAD" w:rsidRPr="00B1350E">
        <w:rPr>
          <w:rFonts w:ascii="Arial" w:hAnsi="Arial" w:cs="Arial"/>
        </w:rPr>
        <w:t xml:space="preserve">new </w:t>
      </w:r>
      <w:r w:rsidR="006651B7" w:rsidRPr="00B1350E">
        <w:rPr>
          <w:rFonts w:ascii="Arial" w:hAnsi="Arial" w:cs="Arial"/>
        </w:rPr>
        <w:t>evaluation</w:t>
      </w:r>
      <w:r w:rsidR="000510BF">
        <w:rPr>
          <w:rFonts w:ascii="Arial" w:hAnsi="Arial" w:cs="Arial"/>
        </w:rPr>
        <w:t xml:space="preserve"> approach to the Grants to States Program</w:t>
      </w:r>
      <w:r w:rsidR="00191F5C" w:rsidRPr="00B1350E">
        <w:rPr>
          <w:rFonts w:ascii="Arial" w:hAnsi="Arial" w:cs="Arial"/>
        </w:rPr>
        <w:t xml:space="preserve">, </w:t>
      </w:r>
      <w:r w:rsidR="000510BF">
        <w:rPr>
          <w:rFonts w:ascii="Arial" w:hAnsi="Arial" w:cs="Arial"/>
        </w:rPr>
        <w:t xml:space="preserve">there undoubtedly will be unforeseen </w:t>
      </w:r>
      <w:r w:rsidR="00191F5C" w:rsidRPr="00B1350E">
        <w:rPr>
          <w:rFonts w:ascii="Arial" w:hAnsi="Arial" w:cs="Arial"/>
        </w:rPr>
        <w:t>technical, administrative</w:t>
      </w:r>
      <w:r w:rsidR="009A1F16">
        <w:rPr>
          <w:rFonts w:ascii="Arial" w:hAnsi="Arial" w:cs="Arial"/>
        </w:rPr>
        <w:t>,</w:t>
      </w:r>
      <w:r w:rsidR="00191F5C" w:rsidRPr="00B1350E">
        <w:rPr>
          <w:rFonts w:ascii="Arial" w:hAnsi="Arial" w:cs="Arial"/>
        </w:rPr>
        <w:t xml:space="preserve"> and political </w:t>
      </w:r>
      <w:r w:rsidR="00FF0C5C" w:rsidRPr="00B1350E">
        <w:rPr>
          <w:rFonts w:ascii="Arial" w:hAnsi="Arial" w:cs="Arial"/>
        </w:rPr>
        <w:t xml:space="preserve">uncertainties </w:t>
      </w:r>
      <w:r w:rsidR="000510BF">
        <w:rPr>
          <w:rFonts w:ascii="Arial" w:hAnsi="Arial" w:cs="Arial"/>
        </w:rPr>
        <w:t>that will arise</w:t>
      </w:r>
      <w:r w:rsidRPr="00B1350E">
        <w:rPr>
          <w:rFonts w:ascii="Arial" w:hAnsi="Arial" w:cs="Arial"/>
        </w:rPr>
        <w:t xml:space="preserve">, </w:t>
      </w:r>
      <w:r w:rsidR="009A1F16">
        <w:rPr>
          <w:rFonts w:ascii="Arial" w:hAnsi="Arial" w:cs="Arial"/>
        </w:rPr>
        <w:t>requiri</w:t>
      </w:r>
      <w:r w:rsidR="00FF0C5C" w:rsidRPr="00B1350E">
        <w:rPr>
          <w:rFonts w:ascii="Arial" w:hAnsi="Arial" w:cs="Arial"/>
        </w:rPr>
        <w:t xml:space="preserve">ng further reflection and adaptation. </w:t>
      </w:r>
      <w:r w:rsidR="000510BF">
        <w:rPr>
          <w:rFonts w:ascii="Arial" w:hAnsi="Arial" w:cs="Arial"/>
        </w:rPr>
        <w:t>These uncertainties will undoubtedly cause a future generation of program evaluators and library service professionals to decide to develop a new evaluation approach in response to changed circumstances.</w:t>
      </w:r>
      <w:r w:rsidR="00FF0C5C" w:rsidRPr="00B1350E">
        <w:rPr>
          <w:rFonts w:ascii="Arial" w:hAnsi="Arial" w:cs="Arial"/>
        </w:rPr>
        <w:t xml:space="preserve"> </w:t>
      </w:r>
    </w:p>
    <w:p w:rsidR="00FF0C5C" w:rsidRDefault="00191F5C" w:rsidP="00FF0C5C">
      <w:pPr>
        <w:tabs>
          <w:tab w:val="left" w:pos="1440"/>
        </w:tabs>
        <w:spacing w:before="120" w:after="120" w:line="360" w:lineRule="auto"/>
        <w:rPr>
          <w:rFonts w:ascii="Arial" w:hAnsi="Arial" w:cs="Arial"/>
        </w:rPr>
      </w:pPr>
      <w:r w:rsidRPr="00B1350E">
        <w:rPr>
          <w:rFonts w:ascii="Arial" w:hAnsi="Arial" w:cs="Arial"/>
        </w:rPr>
        <w:t xml:space="preserve">Despite this note of caution, </w:t>
      </w:r>
      <w:r w:rsidR="0034427E">
        <w:rPr>
          <w:rFonts w:ascii="Arial" w:hAnsi="Arial" w:cs="Arial"/>
        </w:rPr>
        <w:t xml:space="preserve">we emphasize that the process used in Measuring Success has enabled </w:t>
      </w:r>
      <w:r w:rsidRPr="00B1350E">
        <w:rPr>
          <w:rFonts w:ascii="Arial" w:hAnsi="Arial" w:cs="Arial"/>
        </w:rPr>
        <w:t xml:space="preserve">a concrete and compelling vision </w:t>
      </w:r>
      <w:r w:rsidR="0034427E">
        <w:rPr>
          <w:rFonts w:ascii="Arial" w:hAnsi="Arial" w:cs="Arial"/>
        </w:rPr>
        <w:t xml:space="preserve">to emerge with a </w:t>
      </w:r>
      <w:r w:rsidR="00B771C6" w:rsidRPr="00B1350E">
        <w:rPr>
          <w:rFonts w:ascii="Arial" w:hAnsi="Arial" w:cs="Arial"/>
        </w:rPr>
        <w:t xml:space="preserve">promise of </w:t>
      </w:r>
      <w:r w:rsidR="0034427E">
        <w:rPr>
          <w:rFonts w:ascii="Arial" w:hAnsi="Arial" w:cs="Arial"/>
        </w:rPr>
        <w:t xml:space="preserve">better </w:t>
      </w:r>
      <w:r w:rsidR="00B771C6" w:rsidRPr="00B1350E">
        <w:rPr>
          <w:rFonts w:ascii="Arial" w:hAnsi="Arial" w:cs="Arial"/>
        </w:rPr>
        <w:t xml:space="preserve">helping library executives and administrators better address external policy-maker concerns for accountability and results.  This will </w:t>
      </w:r>
      <w:r w:rsidRPr="00B1350E">
        <w:rPr>
          <w:rFonts w:ascii="Arial" w:hAnsi="Arial" w:cs="Arial"/>
        </w:rPr>
        <w:t xml:space="preserve">help </w:t>
      </w:r>
      <w:r w:rsidR="009A1F16">
        <w:rPr>
          <w:rFonts w:ascii="Arial" w:hAnsi="Arial" w:cs="Arial"/>
        </w:rPr>
        <w:t>these key officials</w:t>
      </w:r>
      <w:r w:rsidRPr="00B1350E">
        <w:rPr>
          <w:rFonts w:ascii="Arial" w:hAnsi="Arial" w:cs="Arial"/>
        </w:rPr>
        <w:t xml:space="preserve"> better manage library programs in </w:t>
      </w:r>
      <w:r w:rsidR="00B771C6" w:rsidRPr="00B1350E">
        <w:rPr>
          <w:rFonts w:ascii="Arial" w:hAnsi="Arial" w:cs="Arial"/>
        </w:rPr>
        <w:t xml:space="preserve">a continuing </w:t>
      </w:r>
      <w:r w:rsidRPr="00B1350E">
        <w:rPr>
          <w:rFonts w:ascii="Arial" w:hAnsi="Arial" w:cs="Arial"/>
        </w:rPr>
        <w:t>era of heightened public demand and scarce budgets.</w:t>
      </w:r>
    </w:p>
    <w:p w:rsidR="00235381" w:rsidRDefault="00235381" w:rsidP="00FF0C5C">
      <w:pPr>
        <w:tabs>
          <w:tab w:val="left" w:pos="1440"/>
        </w:tabs>
        <w:spacing w:before="120" w:after="120" w:line="360" w:lineRule="auto"/>
        <w:rPr>
          <w:rFonts w:ascii="Arial" w:hAnsi="Arial" w:cs="Arial"/>
        </w:rPr>
      </w:pPr>
    </w:p>
    <w:p w:rsidR="00967C94" w:rsidRDefault="00967C94" w:rsidP="00FF0C5C">
      <w:pPr>
        <w:tabs>
          <w:tab w:val="left" w:pos="1440"/>
        </w:tabs>
        <w:spacing w:before="120" w:after="120" w:line="360" w:lineRule="auto"/>
        <w:rPr>
          <w:rFonts w:ascii="Arial" w:hAnsi="Arial" w:cs="Arial"/>
          <w:b/>
        </w:rPr>
      </w:pPr>
      <w:r>
        <w:rPr>
          <w:rFonts w:ascii="Arial" w:hAnsi="Arial" w:cs="Arial"/>
          <w:b/>
        </w:rPr>
        <w:t>Acknowledgement</w:t>
      </w:r>
    </w:p>
    <w:p w:rsidR="00967C94" w:rsidRPr="00967C94" w:rsidRDefault="00967C94" w:rsidP="00FF0C5C">
      <w:pPr>
        <w:tabs>
          <w:tab w:val="left" w:pos="1440"/>
        </w:tabs>
        <w:spacing w:before="120" w:after="120" w:line="360" w:lineRule="auto"/>
        <w:rPr>
          <w:rFonts w:ascii="Arial" w:hAnsi="Arial" w:cs="Arial"/>
        </w:rPr>
      </w:pPr>
      <w:r w:rsidRPr="00967C94">
        <w:rPr>
          <w:rFonts w:ascii="Arial" w:hAnsi="Arial" w:cs="Arial"/>
        </w:rPr>
        <w:t xml:space="preserve">The authors </w:t>
      </w:r>
      <w:r w:rsidR="001F631C">
        <w:rPr>
          <w:rFonts w:ascii="Arial" w:hAnsi="Arial" w:cs="Arial"/>
        </w:rPr>
        <w:t xml:space="preserve">appreciate the reviews of various drafts of the paper performed by </w:t>
      </w:r>
      <w:r w:rsidR="00D5075F">
        <w:rPr>
          <w:rFonts w:ascii="Arial" w:hAnsi="Arial" w:cs="Arial"/>
        </w:rPr>
        <w:t xml:space="preserve">their IMLS colleagues -- </w:t>
      </w:r>
      <w:r w:rsidRPr="00967C94">
        <w:rPr>
          <w:rFonts w:ascii="Arial" w:hAnsi="Arial" w:cs="Arial"/>
        </w:rPr>
        <w:t xml:space="preserve">Carlos Manjarrez, Mary Chute, Laurie Brooks, James Lonergan, Michele Farrell and Timothy Owens for reviewing various drafts of the </w:t>
      </w:r>
      <w:r w:rsidR="00A666B2">
        <w:rPr>
          <w:rFonts w:ascii="Arial" w:hAnsi="Arial" w:cs="Arial"/>
        </w:rPr>
        <w:t>paper</w:t>
      </w:r>
      <w:r w:rsidRPr="00967C94">
        <w:rPr>
          <w:rFonts w:ascii="Arial" w:hAnsi="Arial" w:cs="Arial"/>
        </w:rPr>
        <w:t xml:space="preserve">.  They </w:t>
      </w:r>
      <w:r w:rsidR="001F7257">
        <w:rPr>
          <w:rFonts w:ascii="Arial" w:hAnsi="Arial" w:cs="Arial"/>
        </w:rPr>
        <w:t>e</w:t>
      </w:r>
      <w:r w:rsidRPr="00967C94">
        <w:rPr>
          <w:rFonts w:ascii="Arial" w:hAnsi="Arial" w:cs="Arial"/>
        </w:rPr>
        <w:t xml:space="preserve">specially thank Karen Motylewski for her </w:t>
      </w:r>
      <w:r w:rsidR="001F631C">
        <w:rPr>
          <w:rFonts w:ascii="Arial" w:hAnsi="Arial" w:cs="Arial"/>
        </w:rPr>
        <w:t xml:space="preserve">high level of </w:t>
      </w:r>
      <w:r w:rsidR="00536733">
        <w:rPr>
          <w:rFonts w:ascii="Arial" w:hAnsi="Arial" w:cs="Arial"/>
        </w:rPr>
        <w:t xml:space="preserve">professionalism in </w:t>
      </w:r>
      <w:r w:rsidR="00D5075F">
        <w:rPr>
          <w:rFonts w:ascii="Arial" w:hAnsi="Arial" w:cs="Arial"/>
        </w:rPr>
        <w:t xml:space="preserve">continually </w:t>
      </w:r>
      <w:r w:rsidR="001F631C">
        <w:rPr>
          <w:rFonts w:ascii="Arial" w:hAnsi="Arial" w:cs="Arial"/>
        </w:rPr>
        <w:t xml:space="preserve">engaging with </w:t>
      </w:r>
      <w:r w:rsidR="00D5075F">
        <w:rPr>
          <w:rFonts w:ascii="Arial" w:hAnsi="Arial" w:cs="Arial"/>
        </w:rPr>
        <w:t>us</w:t>
      </w:r>
      <w:r w:rsidR="001F631C">
        <w:rPr>
          <w:rFonts w:ascii="Arial" w:hAnsi="Arial" w:cs="Arial"/>
        </w:rPr>
        <w:t>, leading to a</w:t>
      </w:r>
      <w:r w:rsidR="00D5075F">
        <w:rPr>
          <w:rFonts w:ascii="Arial" w:hAnsi="Arial" w:cs="Arial"/>
        </w:rPr>
        <w:t xml:space="preserve"> substantially</w:t>
      </w:r>
      <w:r w:rsidR="001F631C">
        <w:rPr>
          <w:rFonts w:ascii="Arial" w:hAnsi="Arial" w:cs="Arial"/>
        </w:rPr>
        <w:t xml:space="preserve"> improved argument through </w:t>
      </w:r>
      <w:r w:rsidR="00D5075F">
        <w:rPr>
          <w:rFonts w:ascii="Arial" w:hAnsi="Arial" w:cs="Arial"/>
        </w:rPr>
        <w:t xml:space="preserve">her </w:t>
      </w:r>
      <w:r w:rsidRPr="00967C94">
        <w:rPr>
          <w:rFonts w:ascii="Arial" w:hAnsi="Arial" w:cs="Arial"/>
        </w:rPr>
        <w:t>edit</w:t>
      </w:r>
      <w:r w:rsidR="00536733">
        <w:rPr>
          <w:rFonts w:ascii="Arial" w:hAnsi="Arial" w:cs="Arial"/>
        </w:rPr>
        <w:t xml:space="preserve">ing </w:t>
      </w:r>
      <w:r w:rsidR="00A666B2">
        <w:rPr>
          <w:rFonts w:ascii="Arial" w:hAnsi="Arial" w:cs="Arial"/>
        </w:rPr>
        <w:t>multiple</w:t>
      </w:r>
      <w:r w:rsidR="00536733">
        <w:rPr>
          <w:rFonts w:ascii="Arial" w:hAnsi="Arial" w:cs="Arial"/>
        </w:rPr>
        <w:t xml:space="preserve"> versions of this paper</w:t>
      </w:r>
      <w:r w:rsidRPr="00967C94">
        <w:rPr>
          <w:rFonts w:ascii="Arial" w:hAnsi="Arial" w:cs="Arial"/>
        </w:rPr>
        <w:t>.</w:t>
      </w:r>
    </w:p>
    <w:p w:rsidR="00967C94" w:rsidRDefault="00967C94" w:rsidP="00FF0C5C">
      <w:pPr>
        <w:tabs>
          <w:tab w:val="left" w:pos="1440"/>
        </w:tabs>
        <w:spacing w:before="120" w:after="120" w:line="360" w:lineRule="auto"/>
        <w:rPr>
          <w:rFonts w:ascii="Arial" w:hAnsi="Arial" w:cs="Arial"/>
          <w:b/>
        </w:rPr>
      </w:pPr>
    </w:p>
    <w:p w:rsidR="00235381" w:rsidRDefault="00235381" w:rsidP="00FF0C5C">
      <w:pPr>
        <w:tabs>
          <w:tab w:val="left" w:pos="1440"/>
        </w:tabs>
        <w:spacing w:before="120" w:after="120" w:line="360" w:lineRule="auto"/>
        <w:rPr>
          <w:rFonts w:ascii="Arial" w:hAnsi="Arial" w:cs="Arial"/>
          <w:b/>
        </w:rPr>
      </w:pPr>
      <w:r>
        <w:rPr>
          <w:rFonts w:ascii="Arial" w:hAnsi="Arial" w:cs="Arial"/>
          <w:b/>
        </w:rPr>
        <w:t>Authors’ Note</w:t>
      </w:r>
    </w:p>
    <w:p w:rsidR="00235381" w:rsidRPr="00235381" w:rsidRDefault="00235381" w:rsidP="00FF0C5C">
      <w:pPr>
        <w:tabs>
          <w:tab w:val="left" w:pos="1440"/>
        </w:tabs>
        <w:spacing w:before="120" w:after="120" w:line="360" w:lineRule="auto"/>
        <w:rPr>
          <w:rFonts w:ascii="Arial" w:hAnsi="Arial" w:cs="Arial"/>
        </w:rPr>
      </w:pPr>
      <w:r>
        <w:rPr>
          <w:rFonts w:ascii="Arial" w:hAnsi="Arial" w:cs="Arial"/>
        </w:rPr>
        <w:lastRenderedPageBreak/>
        <w:t>The views expressed are those of the authors and do not necessarily reflect the official position or policies of the Institute of Museum and Library Services.</w:t>
      </w:r>
    </w:p>
    <w:p w:rsidR="00235381" w:rsidRPr="00235381" w:rsidRDefault="00235381" w:rsidP="00FF0C5C">
      <w:pPr>
        <w:tabs>
          <w:tab w:val="left" w:pos="1440"/>
        </w:tabs>
        <w:spacing w:before="120" w:after="120" w:line="360" w:lineRule="auto"/>
        <w:rPr>
          <w:rFonts w:ascii="Arial" w:hAnsi="Arial" w:cs="Arial"/>
          <w:b/>
        </w:rPr>
      </w:pPr>
    </w:p>
    <w:p w:rsidR="00FF0C5C" w:rsidRPr="00B1350E" w:rsidRDefault="00FF0C5C">
      <w:pPr>
        <w:rPr>
          <w:rFonts w:ascii="Arial" w:hAnsi="Arial" w:cs="Arial"/>
          <w:b/>
        </w:rPr>
      </w:pPr>
      <w:r w:rsidRPr="00B1350E">
        <w:rPr>
          <w:rFonts w:ascii="Arial" w:hAnsi="Arial" w:cs="Arial"/>
          <w:b/>
        </w:rPr>
        <w:br w:type="page"/>
      </w:r>
    </w:p>
    <w:p w:rsidR="00FF0C5C" w:rsidRDefault="00FF0C5C" w:rsidP="009A1F16">
      <w:pPr>
        <w:tabs>
          <w:tab w:val="left" w:pos="1440"/>
        </w:tabs>
        <w:spacing w:before="120" w:after="120" w:line="360" w:lineRule="auto"/>
        <w:rPr>
          <w:rFonts w:ascii="Arial" w:hAnsi="Arial" w:cs="Arial"/>
          <w:b/>
        </w:rPr>
      </w:pPr>
      <w:r w:rsidRPr="009A1F16">
        <w:rPr>
          <w:rFonts w:ascii="Arial" w:hAnsi="Arial" w:cs="Arial"/>
          <w:b/>
        </w:rPr>
        <w:lastRenderedPageBreak/>
        <w:t>References</w:t>
      </w:r>
    </w:p>
    <w:p w:rsidR="00671860"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Boston, J. M., Pallot,</w:t>
      </w:r>
      <w:r>
        <w:rPr>
          <w:rFonts w:ascii="Arial" w:hAnsi="Arial" w:cs="Arial"/>
        </w:rPr>
        <w:t xml:space="preserve"> </w:t>
      </w:r>
      <w:r w:rsidRPr="00F3125E">
        <w:rPr>
          <w:rFonts w:ascii="Arial" w:hAnsi="Arial" w:cs="Arial"/>
        </w:rPr>
        <w:t xml:space="preserve">J. and Walsh, J. and Walsh, P (1996).  </w:t>
      </w:r>
      <w:r w:rsidRPr="00F3125E">
        <w:rPr>
          <w:rFonts w:ascii="Arial" w:hAnsi="Arial" w:cs="Arial"/>
          <w:i/>
        </w:rPr>
        <w:t>Public Management: The New Zealand Model</w:t>
      </w:r>
      <w:r w:rsidRPr="00F3125E">
        <w:rPr>
          <w:rFonts w:ascii="Arial" w:hAnsi="Arial" w:cs="Arial"/>
        </w:rPr>
        <w:t>.  Oxford, UK:  Oxford University Press.</w:t>
      </w:r>
    </w:p>
    <w:p w:rsidR="00671860" w:rsidRPr="0006708D" w:rsidRDefault="00671860" w:rsidP="00671860">
      <w:pPr>
        <w:tabs>
          <w:tab w:val="left" w:pos="1440"/>
        </w:tabs>
        <w:spacing w:before="120" w:after="120" w:line="360" w:lineRule="auto"/>
        <w:ind w:left="1440" w:hanging="1440"/>
        <w:rPr>
          <w:rFonts w:ascii="Arial" w:hAnsi="Arial" w:cs="Arial"/>
        </w:rPr>
      </w:pPr>
      <w:r>
        <w:rPr>
          <w:rFonts w:ascii="Arial" w:hAnsi="Arial" w:cs="Arial"/>
        </w:rPr>
        <w:t xml:space="preserve">Bryson, J.B. 2004.  </w:t>
      </w:r>
      <w:r>
        <w:rPr>
          <w:rFonts w:ascii="Arial" w:hAnsi="Arial" w:cs="Arial"/>
          <w:i/>
        </w:rPr>
        <w:t xml:space="preserve">Strategic Planning for Public and Nonprofit Organizations: A Guide to Creating and Sustaining Organizations.  </w:t>
      </w:r>
      <w:r>
        <w:rPr>
          <w:rFonts w:ascii="Arial" w:hAnsi="Arial" w:cs="Arial"/>
        </w:rPr>
        <w:t>3</w:t>
      </w:r>
      <w:r w:rsidRPr="0006708D">
        <w:rPr>
          <w:rFonts w:ascii="Arial" w:hAnsi="Arial" w:cs="Arial"/>
          <w:vertAlign w:val="superscript"/>
        </w:rPr>
        <w:t>rd</w:t>
      </w:r>
      <w:r>
        <w:rPr>
          <w:rFonts w:ascii="Arial" w:hAnsi="Arial" w:cs="Arial"/>
        </w:rPr>
        <w:t xml:space="preserve"> Edition.  San Francisco, CA:  Jossey Bass.</w:t>
      </w:r>
    </w:p>
    <w:p w:rsidR="00671860" w:rsidRPr="00F3125E" w:rsidRDefault="00671860" w:rsidP="00671860">
      <w:pPr>
        <w:tabs>
          <w:tab w:val="left" w:pos="1440"/>
        </w:tabs>
        <w:spacing w:before="120" w:after="120" w:line="360" w:lineRule="auto"/>
        <w:ind w:left="1440" w:hanging="1440"/>
        <w:rPr>
          <w:rStyle w:val="Hyperlink"/>
          <w:rFonts w:ascii="Arial" w:hAnsi="Arial" w:cs="Arial"/>
        </w:rPr>
      </w:pPr>
      <w:r w:rsidRPr="00F3125E">
        <w:rPr>
          <w:rFonts w:ascii="Arial" w:hAnsi="Arial" w:cs="Arial"/>
        </w:rPr>
        <w:t>Farrior, M.  (2005). Breakthrough</w:t>
      </w:r>
      <w:r w:rsidRPr="00C81FAC">
        <w:rPr>
          <w:rFonts w:ascii="Arial" w:hAnsi="Arial" w:cs="Arial"/>
          <w:i/>
        </w:rPr>
        <w:t xml:space="preserve"> Strategies for Engaging the Public:  Emerging Trends in Communications and Social Science</w:t>
      </w:r>
      <w:r w:rsidRPr="00F3125E">
        <w:rPr>
          <w:rFonts w:ascii="Arial" w:hAnsi="Arial" w:cs="Arial"/>
        </w:rPr>
        <w:t xml:space="preserve">.  </w:t>
      </w:r>
      <w:r>
        <w:rPr>
          <w:rFonts w:ascii="Arial" w:hAnsi="Arial" w:cs="Arial"/>
        </w:rPr>
        <w:t xml:space="preserve">Retrieved February 1, 2012 from </w:t>
      </w:r>
      <w:hyperlink r:id="rId9" w:history="1">
        <w:r w:rsidRPr="00F3125E">
          <w:rPr>
            <w:rStyle w:val="Hyperlink"/>
            <w:rFonts w:ascii="Arial" w:hAnsi="Arial" w:cs="Arial"/>
          </w:rPr>
          <w:t>http://www.biodiverse.org/docs/publicationsandtipsheets/breakthroughstrategiesforengagingthepublic.pdf</w:t>
        </w:r>
      </w:hyperlink>
    </w:p>
    <w:p w:rsidR="00671860" w:rsidRPr="00671860" w:rsidRDefault="00671860" w:rsidP="00671860">
      <w:pPr>
        <w:tabs>
          <w:tab w:val="left" w:pos="1440"/>
        </w:tabs>
        <w:spacing w:before="120" w:after="120" w:line="360" w:lineRule="auto"/>
        <w:ind w:left="1440" w:hanging="1440"/>
        <w:rPr>
          <w:rStyle w:val="Hyperlink"/>
          <w:rFonts w:ascii="Arial" w:hAnsi="Arial" w:cs="Arial"/>
          <w:color w:val="auto"/>
          <w:u w:val="none"/>
        </w:rPr>
      </w:pPr>
      <w:r w:rsidRPr="00671860">
        <w:rPr>
          <w:rStyle w:val="Hyperlink"/>
          <w:rFonts w:ascii="Arial" w:hAnsi="Arial" w:cs="Arial"/>
          <w:color w:val="auto"/>
          <w:u w:val="none"/>
        </w:rPr>
        <w:t>Gladwell, M.  (2000). The</w:t>
      </w:r>
      <w:r w:rsidRPr="00671860">
        <w:rPr>
          <w:rStyle w:val="Hyperlink"/>
          <w:rFonts w:ascii="Arial" w:hAnsi="Arial" w:cs="Arial"/>
          <w:i/>
          <w:color w:val="auto"/>
          <w:u w:val="none"/>
        </w:rPr>
        <w:t xml:space="preserve"> Tipping Point:  How Little Things Can Make a Big Difference.  </w:t>
      </w:r>
      <w:r w:rsidRPr="00671860">
        <w:rPr>
          <w:rStyle w:val="Hyperlink"/>
          <w:rFonts w:ascii="Arial" w:hAnsi="Arial" w:cs="Arial"/>
          <w:color w:val="auto"/>
          <w:u w:val="none"/>
        </w:rPr>
        <w:t>New York, NY:  Little Brown and Company.</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Harris, E. (2005).  An Introduction to Theory of Change.  </w:t>
      </w:r>
      <w:r w:rsidRPr="00F3125E">
        <w:rPr>
          <w:rFonts w:ascii="Arial" w:hAnsi="Arial" w:cs="Arial"/>
          <w:i/>
        </w:rPr>
        <w:t xml:space="preserve"> Evaluation Exchange</w:t>
      </w:r>
      <w:r w:rsidRPr="00F3125E">
        <w:rPr>
          <w:rFonts w:ascii="Arial" w:hAnsi="Arial" w:cs="Arial"/>
        </w:rPr>
        <w:t xml:space="preserve">.   XI </w:t>
      </w:r>
      <w:r>
        <w:rPr>
          <w:rFonts w:ascii="Arial" w:hAnsi="Arial" w:cs="Arial"/>
        </w:rPr>
        <w:t>(</w:t>
      </w:r>
      <w:r w:rsidRPr="00F3125E">
        <w:rPr>
          <w:rFonts w:ascii="Arial" w:hAnsi="Arial" w:cs="Arial"/>
        </w:rPr>
        <w:t>2</w:t>
      </w:r>
      <w:r>
        <w:rPr>
          <w:rFonts w:ascii="Arial" w:hAnsi="Arial" w:cs="Arial"/>
        </w:rPr>
        <w:t>)</w:t>
      </w:r>
      <w:r w:rsidRPr="00F3125E">
        <w:rPr>
          <w:rFonts w:ascii="Arial" w:hAnsi="Arial" w:cs="Arial"/>
        </w:rPr>
        <w:t xml:space="preserve">.  </w:t>
      </w:r>
      <w:r>
        <w:rPr>
          <w:rFonts w:ascii="Arial" w:hAnsi="Arial" w:cs="Arial"/>
        </w:rPr>
        <w:t xml:space="preserve">Retrieved February 1, 2012 from </w:t>
      </w:r>
      <w:hyperlink r:id="rId10" w:history="1">
        <w:r w:rsidRPr="00F3125E">
          <w:rPr>
            <w:rStyle w:val="Hyperlink"/>
            <w:rFonts w:ascii="Arial" w:hAnsi="Arial" w:cs="Arial"/>
          </w:rPr>
          <w:t>http://www.hfrp.org/evaluation/the-evaluation-exchange/issue-archive/evaluation-methodology/an-introduction-to-theory-of-change</w:t>
        </w:r>
      </w:hyperlink>
      <w:r w:rsidRPr="00F3125E">
        <w:rPr>
          <w:rFonts w:ascii="Arial" w:hAnsi="Arial" w:cs="Arial"/>
        </w:rPr>
        <w:t>.</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Heath, C. and Heath, D. (2007).  </w:t>
      </w:r>
      <w:r w:rsidRPr="00F3125E">
        <w:rPr>
          <w:rFonts w:ascii="Arial" w:hAnsi="Arial" w:cs="Arial"/>
          <w:i/>
        </w:rPr>
        <w:t>Made to Stick: Why Some Ideas Survive and Others Stick</w:t>
      </w:r>
      <w:r w:rsidRPr="00F3125E">
        <w:rPr>
          <w:rFonts w:ascii="Arial" w:hAnsi="Arial" w:cs="Arial"/>
        </w:rPr>
        <w:t>.  New York, NY:  Random House.</w:t>
      </w:r>
    </w:p>
    <w:p w:rsidR="00671860" w:rsidRDefault="00671860" w:rsidP="00671860">
      <w:pPr>
        <w:tabs>
          <w:tab w:val="left" w:pos="1440"/>
        </w:tabs>
        <w:spacing w:before="120" w:after="120" w:line="360" w:lineRule="auto"/>
        <w:ind w:left="1440" w:hanging="1440"/>
        <w:rPr>
          <w:rFonts w:ascii="Arial" w:hAnsi="Arial" w:cs="Arial"/>
          <w:i/>
        </w:rPr>
      </w:pPr>
      <w:r w:rsidRPr="00F3125E">
        <w:rPr>
          <w:rFonts w:ascii="Arial" w:hAnsi="Arial" w:cs="Arial"/>
        </w:rPr>
        <w:t xml:space="preserve">Hernandez, M.  (2000). Using Logic Models and Program Model Theory to Build Outcome Accountability.  </w:t>
      </w:r>
      <w:r w:rsidRPr="00F3125E">
        <w:rPr>
          <w:rFonts w:ascii="Arial" w:hAnsi="Arial" w:cs="Arial"/>
          <w:i/>
        </w:rPr>
        <w:t xml:space="preserve">Education and Treatment of Children. </w:t>
      </w:r>
      <w:r w:rsidRPr="00F3125E">
        <w:rPr>
          <w:rFonts w:ascii="Arial" w:hAnsi="Arial" w:cs="Arial"/>
        </w:rPr>
        <w:t xml:space="preserve"> 23 </w:t>
      </w:r>
      <w:r>
        <w:rPr>
          <w:rFonts w:ascii="Arial" w:hAnsi="Arial" w:cs="Arial"/>
        </w:rPr>
        <w:t>(</w:t>
      </w:r>
      <w:r w:rsidRPr="00F3125E">
        <w:rPr>
          <w:rFonts w:ascii="Arial" w:hAnsi="Arial" w:cs="Arial"/>
        </w:rPr>
        <w:t>1</w:t>
      </w:r>
      <w:r>
        <w:rPr>
          <w:rFonts w:ascii="Arial" w:hAnsi="Arial" w:cs="Arial"/>
        </w:rPr>
        <w:t>), 23-41.</w:t>
      </w:r>
      <w:r w:rsidRPr="00F3125E">
        <w:rPr>
          <w:rFonts w:ascii="Arial" w:hAnsi="Arial" w:cs="Arial"/>
          <w:i/>
        </w:rPr>
        <w:t xml:space="preserve"> </w:t>
      </w:r>
    </w:p>
    <w:p w:rsidR="00671860" w:rsidRDefault="00671860" w:rsidP="00671860">
      <w:pPr>
        <w:tabs>
          <w:tab w:val="left" w:pos="1440"/>
        </w:tabs>
        <w:spacing w:before="120" w:after="120" w:line="360" w:lineRule="auto"/>
        <w:ind w:left="1440" w:hanging="1440"/>
        <w:rPr>
          <w:rFonts w:ascii="Arial" w:hAnsi="Arial" w:cs="Arial"/>
        </w:rPr>
      </w:pPr>
      <w:r>
        <w:rPr>
          <w:rFonts w:ascii="Arial" w:hAnsi="Arial" w:cs="Arial"/>
        </w:rPr>
        <w:t>Institute for Museum and Library Services.  (2011)</w:t>
      </w:r>
      <w:r w:rsidR="008221FC">
        <w:rPr>
          <w:rFonts w:ascii="Arial" w:hAnsi="Arial" w:cs="Arial"/>
        </w:rPr>
        <w:t>. Public</w:t>
      </w:r>
      <w:r>
        <w:rPr>
          <w:rFonts w:ascii="Arial" w:hAnsi="Arial" w:cs="Arial"/>
          <w:i/>
        </w:rPr>
        <w:t xml:space="preserve"> Libraries Survey:  Fiscal Year 2009</w:t>
      </w:r>
      <w:r>
        <w:rPr>
          <w:rFonts w:ascii="Arial" w:hAnsi="Arial" w:cs="Arial"/>
        </w:rPr>
        <w:t xml:space="preserve">.  Retrieved February 5, 2012 at </w:t>
      </w:r>
      <w:hyperlink r:id="rId11" w:history="1">
        <w:r w:rsidRPr="00745D09">
          <w:rPr>
            <w:rStyle w:val="Hyperlink"/>
            <w:rFonts w:ascii="Arial" w:hAnsi="Arial" w:cs="Arial"/>
          </w:rPr>
          <w:t>http://www.imls.gov/assets/1/News/PLS2009.pdf</w:t>
        </w:r>
      </w:hyperlink>
    </w:p>
    <w:p w:rsidR="00671860"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Levebvre, R. C. (2010).  </w:t>
      </w:r>
      <w:r w:rsidRPr="00F3125E">
        <w:rPr>
          <w:rFonts w:ascii="Arial" w:hAnsi="Arial" w:cs="Arial"/>
          <w:i/>
        </w:rPr>
        <w:t>On Social Marketing and Social Change:  Selected Readings 2005-2009</w:t>
      </w:r>
      <w:r w:rsidRPr="00F3125E">
        <w:rPr>
          <w:rFonts w:ascii="Arial" w:hAnsi="Arial" w:cs="Arial"/>
        </w:rPr>
        <w:t xml:space="preserve">.  </w:t>
      </w:r>
      <w:r>
        <w:rPr>
          <w:rFonts w:ascii="Arial" w:hAnsi="Arial" w:cs="Arial"/>
        </w:rPr>
        <w:t>United States:  Createspace.</w:t>
      </w:r>
    </w:p>
    <w:p w:rsidR="00671860" w:rsidRPr="00F169E1" w:rsidRDefault="00671860" w:rsidP="00671860">
      <w:pPr>
        <w:tabs>
          <w:tab w:val="left" w:pos="1440"/>
        </w:tabs>
        <w:spacing w:before="120" w:after="120" w:line="360" w:lineRule="auto"/>
        <w:ind w:left="1440" w:hanging="1440"/>
        <w:rPr>
          <w:rFonts w:ascii="Arial" w:hAnsi="Arial" w:cs="Arial"/>
        </w:rPr>
      </w:pPr>
      <w:r>
        <w:rPr>
          <w:rFonts w:ascii="Arial" w:hAnsi="Arial" w:cs="Arial"/>
        </w:rPr>
        <w:lastRenderedPageBreak/>
        <w:t xml:space="preserve">McDavid, J.C. and Huse, I. (2012, March).  Legislator Uses of Public Performance Reports:  Findings from a Five Year Study.  </w:t>
      </w:r>
      <w:r>
        <w:rPr>
          <w:rFonts w:ascii="Arial" w:hAnsi="Arial" w:cs="Arial"/>
          <w:i/>
        </w:rPr>
        <w:t>American Journal of Evaluation</w:t>
      </w:r>
      <w:r>
        <w:rPr>
          <w:rFonts w:ascii="Arial" w:hAnsi="Arial" w:cs="Arial"/>
        </w:rPr>
        <w:t>.  33:1, 7-25.</w:t>
      </w:r>
    </w:p>
    <w:p w:rsidR="00671860" w:rsidRPr="00061E71" w:rsidRDefault="00671860" w:rsidP="00671860">
      <w:pPr>
        <w:tabs>
          <w:tab w:val="left" w:pos="1440"/>
        </w:tabs>
        <w:spacing w:before="120" w:after="120" w:line="360" w:lineRule="auto"/>
        <w:ind w:left="1440" w:hanging="1440"/>
        <w:rPr>
          <w:rFonts w:ascii="Arial" w:hAnsi="Arial" w:cs="Arial"/>
        </w:rPr>
      </w:pPr>
      <w:r w:rsidRPr="00061E71">
        <w:rPr>
          <w:rFonts w:ascii="Arial" w:hAnsi="Arial" w:cs="Arial"/>
        </w:rPr>
        <w:t>Patton, M. Q.  (2011). Developmental</w:t>
      </w:r>
      <w:r w:rsidRPr="00061E71">
        <w:rPr>
          <w:rFonts w:ascii="Arial" w:hAnsi="Arial" w:cs="Arial"/>
          <w:i/>
        </w:rPr>
        <w:t xml:space="preserve"> Evaluation:  Applying Complexity Concepts to Enhance Evaluation Innovation and Use</w:t>
      </w:r>
      <w:r w:rsidRPr="00061E71">
        <w:rPr>
          <w:rFonts w:ascii="Arial" w:hAnsi="Arial" w:cs="Arial"/>
        </w:rPr>
        <w:t>.  New York, NY:  Guilford Press.</w:t>
      </w:r>
    </w:p>
    <w:p w:rsidR="00671860" w:rsidRPr="00061E71" w:rsidRDefault="00671860" w:rsidP="00671860">
      <w:pPr>
        <w:tabs>
          <w:tab w:val="left" w:pos="1440"/>
        </w:tabs>
        <w:spacing w:before="120" w:after="120" w:line="360" w:lineRule="auto"/>
        <w:ind w:left="1440" w:hanging="1440"/>
        <w:rPr>
          <w:rFonts w:ascii="Arial" w:hAnsi="Arial" w:cs="Arial"/>
        </w:rPr>
      </w:pPr>
      <w:r w:rsidRPr="00061E71">
        <w:rPr>
          <w:rFonts w:ascii="Arial" w:hAnsi="Arial" w:cs="Arial"/>
        </w:rPr>
        <w:t xml:space="preserve">Patton, M. Q. (2008).  </w:t>
      </w:r>
      <w:r w:rsidRPr="00061E71">
        <w:rPr>
          <w:rFonts w:ascii="Arial" w:hAnsi="Arial" w:cs="Arial"/>
          <w:i/>
        </w:rPr>
        <w:t>Utilization-Focused Evaluation</w:t>
      </w:r>
      <w:r w:rsidRPr="00061E71">
        <w:rPr>
          <w:rFonts w:ascii="Arial" w:hAnsi="Arial" w:cs="Arial"/>
        </w:rPr>
        <w:t>.  4</w:t>
      </w:r>
      <w:r w:rsidRPr="00061E71">
        <w:rPr>
          <w:rFonts w:ascii="Arial" w:hAnsi="Arial" w:cs="Arial"/>
          <w:vertAlign w:val="superscript"/>
        </w:rPr>
        <w:t>th</w:t>
      </w:r>
      <w:r w:rsidRPr="00061E71">
        <w:rPr>
          <w:rFonts w:ascii="Arial" w:hAnsi="Arial" w:cs="Arial"/>
        </w:rPr>
        <w:t xml:space="preserve"> Edition.  Thousand Oaks, CA:  Sage Publications.</w:t>
      </w:r>
    </w:p>
    <w:p w:rsidR="00671860" w:rsidRPr="00061E71" w:rsidRDefault="00671860" w:rsidP="00671860">
      <w:pPr>
        <w:tabs>
          <w:tab w:val="left" w:pos="1440"/>
        </w:tabs>
        <w:spacing w:before="120" w:after="120" w:line="360" w:lineRule="auto"/>
        <w:ind w:left="1440" w:hanging="1440"/>
        <w:rPr>
          <w:rFonts w:ascii="Arial" w:hAnsi="Arial" w:cs="Arial"/>
        </w:rPr>
      </w:pPr>
      <w:r w:rsidRPr="00061E71">
        <w:rPr>
          <w:rFonts w:ascii="Arial" w:hAnsi="Arial" w:cs="Arial"/>
        </w:rPr>
        <w:t xml:space="preserve">Penual, W. R., Sussex, W. and Korbak, C.  (2006). Investigating the Potential of Using Social Network Analysis in Educational Evaluation.  </w:t>
      </w:r>
      <w:r w:rsidRPr="00061E71">
        <w:rPr>
          <w:rFonts w:ascii="Arial" w:hAnsi="Arial" w:cs="Arial"/>
          <w:i/>
        </w:rPr>
        <w:t>American Journal of Evaluation</w:t>
      </w:r>
      <w:r w:rsidRPr="00061E71">
        <w:rPr>
          <w:rFonts w:ascii="Arial" w:hAnsi="Arial" w:cs="Arial"/>
        </w:rPr>
        <w:t>.  27</w:t>
      </w:r>
      <w:r>
        <w:rPr>
          <w:rFonts w:ascii="Arial" w:hAnsi="Arial" w:cs="Arial"/>
        </w:rPr>
        <w:t xml:space="preserve"> (</w:t>
      </w:r>
      <w:r w:rsidRPr="00061E71">
        <w:rPr>
          <w:rFonts w:ascii="Arial" w:hAnsi="Arial" w:cs="Arial"/>
        </w:rPr>
        <w:t>4</w:t>
      </w:r>
      <w:r>
        <w:rPr>
          <w:rFonts w:ascii="Arial" w:hAnsi="Arial" w:cs="Arial"/>
        </w:rPr>
        <w:t>)</w:t>
      </w:r>
      <w:r w:rsidRPr="00061E71">
        <w:rPr>
          <w:rFonts w:ascii="Arial" w:hAnsi="Arial" w:cs="Arial"/>
        </w:rPr>
        <w:t>,</w:t>
      </w:r>
      <w:r>
        <w:rPr>
          <w:rFonts w:ascii="Arial" w:hAnsi="Arial" w:cs="Arial"/>
        </w:rPr>
        <w:t xml:space="preserve"> </w:t>
      </w:r>
      <w:r w:rsidRPr="00061E71">
        <w:rPr>
          <w:rFonts w:ascii="Arial" w:hAnsi="Arial" w:cs="Arial"/>
        </w:rPr>
        <w:t>437-451.</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Rogers, E., I.  (1962). Diffusion</w:t>
      </w:r>
      <w:r w:rsidRPr="00F3125E">
        <w:rPr>
          <w:rFonts w:ascii="Arial" w:hAnsi="Arial" w:cs="Arial"/>
          <w:i/>
        </w:rPr>
        <w:t xml:space="preserve"> of Innovations</w:t>
      </w:r>
      <w:r w:rsidRPr="00F3125E">
        <w:rPr>
          <w:rFonts w:ascii="Arial" w:hAnsi="Arial" w:cs="Arial"/>
        </w:rPr>
        <w:t>.  New York, NY:  Free Press.</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Rogers, P. J.  (2008). Using Program Theory for Complicated and Complex Programme Evaluation.  </w:t>
      </w:r>
      <w:r w:rsidRPr="00F3125E">
        <w:rPr>
          <w:rFonts w:ascii="Arial" w:hAnsi="Arial" w:cs="Arial"/>
          <w:i/>
        </w:rPr>
        <w:t>The International Journal of Theory, Research and Practice</w:t>
      </w:r>
      <w:r w:rsidRPr="00F3125E">
        <w:rPr>
          <w:rFonts w:ascii="Arial" w:hAnsi="Arial" w:cs="Arial"/>
        </w:rPr>
        <w:t xml:space="preserve">.  </w:t>
      </w:r>
      <w:r>
        <w:rPr>
          <w:rFonts w:ascii="Arial" w:hAnsi="Arial" w:cs="Arial"/>
        </w:rPr>
        <w:t>1</w:t>
      </w:r>
      <w:r w:rsidRPr="00F3125E">
        <w:rPr>
          <w:rFonts w:ascii="Arial" w:hAnsi="Arial" w:cs="Arial"/>
        </w:rPr>
        <w:t>4</w:t>
      </w:r>
      <w:r>
        <w:rPr>
          <w:rFonts w:ascii="Arial" w:hAnsi="Arial" w:cs="Arial"/>
        </w:rPr>
        <w:t xml:space="preserve"> (</w:t>
      </w:r>
      <w:r w:rsidRPr="00F3125E">
        <w:rPr>
          <w:rFonts w:ascii="Arial" w:hAnsi="Arial" w:cs="Arial"/>
        </w:rPr>
        <w:t>1</w:t>
      </w:r>
      <w:r>
        <w:rPr>
          <w:rFonts w:ascii="Arial" w:hAnsi="Arial" w:cs="Arial"/>
        </w:rPr>
        <w:t>),</w:t>
      </w:r>
      <w:r w:rsidRPr="00F3125E">
        <w:rPr>
          <w:rFonts w:ascii="Arial" w:hAnsi="Arial" w:cs="Arial"/>
        </w:rPr>
        <w:t xml:space="preserve"> 29-48.</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Rogers, P. J. (2010</w:t>
      </w:r>
      <w:r>
        <w:rPr>
          <w:rFonts w:ascii="Arial" w:hAnsi="Arial" w:cs="Arial"/>
        </w:rPr>
        <w:t>, November</w:t>
      </w:r>
      <w:r w:rsidRPr="00F3125E">
        <w:rPr>
          <w:rFonts w:ascii="Arial" w:hAnsi="Arial" w:cs="Arial"/>
        </w:rPr>
        <w:t xml:space="preserve">).   </w:t>
      </w:r>
      <w:r w:rsidRPr="00C81FAC">
        <w:rPr>
          <w:rFonts w:ascii="Arial" w:hAnsi="Arial" w:cs="Arial"/>
          <w:i/>
        </w:rPr>
        <w:t>Representing Simple, Complicated and Complex Aspects in Logics Models for Evaluation Quality</w:t>
      </w:r>
      <w:r w:rsidRPr="00F3125E">
        <w:rPr>
          <w:rFonts w:ascii="Arial" w:hAnsi="Arial" w:cs="Arial"/>
        </w:rPr>
        <w:t>.  Paper presented at the meeting of the American Evaluation Association.  San Antonio, TX.</w:t>
      </w:r>
    </w:p>
    <w:p w:rsidR="00671860" w:rsidRPr="00F3125E"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Rossi, P., Lipsey, M.W. and Freeman, H.E. (2004).  </w:t>
      </w:r>
      <w:r w:rsidRPr="00F3125E">
        <w:rPr>
          <w:rFonts w:ascii="Arial" w:hAnsi="Arial" w:cs="Arial"/>
          <w:i/>
        </w:rPr>
        <w:t>Evaluation:  A Systematic Approach</w:t>
      </w:r>
      <w:r w:rsidRPr="00F3125E">
        <w:rPr>
          <w:rFonts w:ascii="Arial" w:hAnsi="Arial" w:cs="Arial"/>
        </w:rPr>
        <w:t>, 7</w:t>
      </w:r>
      <w:r w:rsidRPr="00F3125E">
        <w:rPr>
          <w:rFonts w:ascii="Arial" w:hAnsi="Arial" w:cs="Arial"/>
          <w:vertAlign w:val="superscript"/>
        </w:rPr>
        <w:t>th</w:t>
      </w:r>
      <w:r w:rsidRPr="00F3125E">
        <w:rPr>
          <w:rFonts w:ascii="Arial" w:hAnsi="Arial" w:cs="Arial"/>
        </w:rPr>
        <w:t xml:space="preserve"> Edition.  Thousand Oaks, CA.  Sage Publications.</w:t>
      </w:r>
    </w:p>
    <w:p w:rsidR="00671860" w:rsidRDefault="00671860" w:rsidP="00671860">
      <w:pPr>
        <w:tabs>
          <w:tab w:val="left" w:pos="1440"/>
        </w:tabs>
        <w:spacing w:before="120" w:after="120" w:line="360" w:lineRule="auto"/>
        <w:ind w:left="1440" w:hanging="1440"/>
        <w:rPr>
          <w:rFonts w:ascii="Arial" w:hAnsi="Arial" w:cs="Arial"/>
        </w:rPr>
      </w:pPr>
      <w:r w:rsidRPr="00F3125E">
        <w:rPr>
          <w:rFonts w:ascii="Arial" w:hAnsi="Arial" w:cs="Arial"/>
        </w:rPr>
        <w:t xml:space="preserve">Russ-Eft, D. and  Preskill, H.  (2009). </w:t>
      </w:r>
      <w:r w:rsidRPr="00F3125E">
        <w:rPr>
          <w:rFonts w:ascii="Arial" w:hAnsi="Arial" w:cs="Arial"/>
          <w:i/>
        </w:rPr>
        <w:t>Evaluation in Organizations:  A Systematic Approach to Enhancing Learning, Performance, and Change</w:t>
      </w:r>
      <w:r w:rsidRPr="00F3125E">
        <w:rPr>
          <w:rFonts w:ascii="Arial" w:hAnsi="Arial" w:cs="Arial"/>
        </w:rPr>
        <w:t>.  Second Edition.  Philadelphia, PA:  Basic Books.</w:t>
      </w:r>
    </w:p>
    <w:p w:rsidR="000234DD" w:rsidRPr="000234DD" w:rsidRDefault="000234DD" w:rsidP="00671860">
      <w:pPr>
        <w:tabs>
          <w:tab w:val="left" w:pos="1440"/>
        </w:tabs>
        <w:spacing w:before="120" w:after="120" w:line="360" w:lineRule="auto"/>
        <w:ind w:left="1440" w:hanging="1440"/>
        <w:rPr>
          <w:rFonts w:ascii="Arial" w:hAnsi="Arial" w:cs="Arial"/>
        </w:rPr>
      </w:pPr>
      <w:r>
        <w:rPr>
          <w:rFonts w:ascii="Arial" w:hAnsi="Arial" w:cs="Arial"/>
        </w:rPr>
        <w:t xml:space="preserve">Schelling, T.C. (1971).  “Dynamic Models of Segregation.”  </w:t>
      </w:r>
      <w:r>
        <w:rPr>
          <w:rFonts w:ascii="Arial" w:hAnsi="Arial" w:cs="Arial"/>
          <w:i/>
        </w:rPr>
        <w:t>Journal of Mathematical Sociology</w:t>
      </w:r>
      <w:r>
        <w:rPr>
          <w:rFonts w:ascii="Arial" w:hAnsi="Arial" w:cs="Arial"/>
        </w:rPr>
        <w:t xml:space="preserve">.  </w:t>
      </w:r>
    </w:p>
    <w:p w:rsidR="00671860" w:rsidRDefault="00671860" w:rsidP="00671860">
      <w:pPr>
        <w:tabs>
          <w:tab w:val="left" w:pos="1440"/>
        </w:tabs>
        <w:ind w:left="1440" w:hanging="1440"/>
        <w:rPr>
          <w:rFonts w:ascii="Arial" w:hAnsi="Arial" w:cs="Arial"/>
        </w:rPr>
      </w:pPr>
      <w:r w:rsidRPr="00F3125E">
        <w:rPr>
          <w:rFonts w:ascii="Arial" w:hAnsi="Arial" w:cs="Arial"/>
        </w:rPr>
        <w:t xml:space="preserve">Schmitt, E. </w:t>
      </w:r>
      <w:r>
        <w:rPr>
          <w:rFonts w:ascii="Arial" w:hAnsi="Arial" w:cs="Arial"/>
        </w:rPr>
        <w:t>(</w:t>
      </w:r>
      <w:r w:rsidRPr="00F3125E">
        <w:rPr>
          <w:rFonts w:ascii="Arial" w:hAnsi="Arial" w:cs="Arial"/>
        </w:rPr>
        <w:t>2007</w:t>
      </w:r>
      <w:r>
        <w:rPr>
          <w:rFonts w:ascii="Arial" w:hAnsi="Arial" w:cs="Arial"/>
        </w:rPr>
        <w:t>, December 21)</w:t>
      </w:r>
      <w:r w:rsidRPr="00F3125E">
        <w:rPr>
          <w:rFonts w:ascii="Arial" w:hAnsi="Arial" w:cs="Arial"/>
        </w:rPr>
        <w:t xml:space="preserve">.  “The Theory of Change Primary.”  </w:t>
      </w:r>
      <w:proofErr w:type="gramStart"/>
      <w:r w:rsidRPr="00F3125E">
        <w:rPr>
          <w:rFonts w:ascii="Arial" w:hAnsi="Arial" w:cs="Arial"/>
          <w:i/>
        </w:rPr>
        <w:t>The American Prospect</w:t>
      </w:r>
      <w:r w:rsidRPr="00F3125E">
        <w:rPr>
          <w:rFonts w:ascii="Arial" w:hAnsi="Arial" w:cs="Arial"/>
        </w:rPr>
        <w:t>.</w:t>
      </w:r>
      <w:proofErr w:type="gramEnd"/>
      <w:r w:rsidRPr="00F3125E">
        <w:rPr>
          <w:rFonts w:ascii="Arial" w:hAnsi="Arial" w:cs="Arial"/>
        </w:rPr>
        <w:t xml:space="preserve"> </w:t>
      </w:r>
      <w:hyperlink w:history="1"/>
      <w:r>
        <w:rPr>
          <w:rFonts w:ascii="Arial" w:hAnsi="Arial" w:cs="Arial"/>
        </w:rPr>
        <w:t xml:space="preserve">  Retrieved February 1, 2012 from </w:t>
      </w:r>
      <w:hyperlink r:id="rId12" w:history="1">
        <w:r w:rsidRPr="00745D09">
          <w:rPr>
            <w:rStyle w:val="Hyperlink"/>
            <w:rFonts w:ascii="Arial" w:hAnsi="Arial" w:cs="Arial"/>
          </w:rPr>
          <w:t>http://prospect.org/article/tehory-change-primary</w:t>
        </w:r>
      </w:hyperlink>
      <w:r>
        <w:rPr>
          <w:rFonts w:ascii="Arial" w:hAnsi="Arial" w:cs="Arial"/>
        </w:rPr>
        <w:t>.</w:t>
      </w:r>
    </w:p>
    <w:p w:rsidR="00671860" w:rsidRDefault="00671860" w:rsidP="00671860">
      <w:pPr>
        <w:tabs>
          <w:tab w:val="left" w:pos="1440"/>
        </w:tabs>
        <w:ind w:left="1440" w:hanging="1440"/>
        <w:rPr>
          <w:rFonts w:ascii="Arial" w:hAnsi="Arial" w:cs="Arial"/>
        </w:rPr>
      </w:pPr>
    </w:p>
    <w:p w:rsidR="00671860" w:rsidRDefault="00671860" w:rsidP="00671860">
      <w:pPr>
        <w:tabs>
          <w:tab w:val="left" w:pos="1440"/>
        </w:tabs>
        <w:ind w:left="1440" w:hanging="1440"/>
        <w:rPr>
          <w:rFonts w:ascii="Arial" w:hAnsi="Arial" w:cs="Arial"/>
        </w:rPr>
      </w:pPr>
      <w:r>
        <w:rPr>
          <w:rFonts w:ascii="Arial" w:hAnsi="Arial" w:cs="Arial"/>
        </w:rPr>
        <w:lastRenderedPageBreak/>
        <w:t xml:space="preserve">Weiss, C.H.  (1995, Winter).  “The Four I’s Of School Reform:  How Interests, Ideology, Information and Institution Affect Teachers and Principals.”  </w:t>
      </w:r>
      <w:r>
        <w:rPr>
          <w:rFonts w:ascii="Arial" w:hAnsi="Arial" w:cs="Arial"/>
          <w:i/>
        </w:rPr>
        <w:t>Harvard Education Review</w:t>
      </w:r>
      <w:r>
        <w:rPr>
          <w:rFonts w:ascii="Arial" w:hAnsi="Arial" w:cs="Arial"/>
        </w:rPr>
        <w:t>.  65:4, 571-593.</w:t>
      </w:r>
    </w:p>
    <w:p w:rsidR="00671860" w:rsidRDefault="00671860" w:rsidP="00671860">
      <w:pPr>
        <w:tabs>
          <w:tab w:val="left" w:pos="1440"/>
        </w:tabs>
        <w:ind w:left="1440" w:hanging="1440"/>
        <w:rPr>
          <w:rFonts w:ascii="Arial" w:hAnsi="Arial" w:cs="Arial"/>
        </w:rPr>
      </w:pPr>
    </w:p>
    <w:p w:rsidR="00671860" w:rsidRPr="00671860" w:rsidRDefault="00671860" w:rsidP="00671860">
      <w:pPr>
        <w:tabs>
          <w:tab w:val="left" w:pos="1440"/>
        </w:tabs>
        <w:ind w:left="1440" w:hanging="1440"/>
        <w:rPr>
          <w:rFonts w:ascii="Arial" w:hAnsi="Arial" w:cs="Arial"/>
        </w:rPr>
      </w:pPr>
      <w:r>
        <w:rPr>
          <w:rFonts w:ascii="Arial" w:hAnsi="Arial" w:cs="Arial"/>
        </w:rPr>
        <w:t xml:space="preserve">Weiss, C.H.  1972.  </w:t>
      </w:r>
      <w:r>
        <w:rPr>
          <w:rFonts w:ascii="Arial" w:hAnsi="Arial" w:cs="Arial"/>
          <w:i/>
        </w:rPr>
        <w:t>Evaluating Action Programs:  Readings in Social Action and Education</w:t>
      </w:r>
      <w:r>
        <w:rPr>
          <w:rFonts w:ascii="Arial" w:hAnsi="Arial" w:cs="Arial"/>
        </w:rPr>
        <w:t>.  Boston, MA:  Allyn and Bacon.</w:t>
      </w:r>
    </w:p>
    <w:sectPr w:rsidR="00671860" w:rsidRPr="00671860" w:rsidSect="00885C4F">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79" w:rsidRDefault="00B55379">
      <w:r>
        <w:separator/>
      </w:r>
    </w:p>
  </w:endnote>
  <w:endnote w:type="continuationSeparator" w:id="0">
    <w:p w:rsidR="00B55379" w:rsidRDefault="00B5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79" w:rsidRDefault="00B55379">
    <w:pPr>
      <w:pStyle w:val="Footer"/>
      <w:jc w:val="right"/>
    </w:pPr>
    <w:r>
      <w:fldChar w:fldCharType="begin"/>
    </w:r>
    <w:r>
      <w:instrText xml:space="preserve"> PAGE   \* MERGEFORMAT </w:instrText>
    </w:r>
    <w:r>
      <w:fldChar w:fldCharType="separate"/>
    </w:r>
    <w:r>
      <w:rPr>
        <w:noProof/>
      </w:rPr>
      <w:t>29</w:t>
    </w:r>
    <w:r>
      <w:rPr>
        <w:noProof/>
      </w:rPr>
      <w:fldChar w:fldCharType="end"/>
    </w:r>
  </w:p>
  <w:p w:rsidR="00B55379" w:rsidRDefault="00B5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79" w:rsidRDefault="00B55379">
      <w:r>
        <w:separator/>
      </w:r>
    </w:p>
  </w:footnote>
  <w:footnote w:type="continuationSeparator" w:id="0">
    <w:p w:rsidR="00B55379" w:rsidRDefault="00B55379">
      <w:r>
        <w:continuationSeparator/>
      </w:r>
    </w:p>
  </w:footnote>
  <w:footnote w:id="1">
    <w:p w:rsidR="00B55379" w:rsidRPr="00E94D24" w:rsidRDefault="00B55379" w:rsidP="00E94D24">
      <w:pPr>
        <w:pStyle w:val="FootnoteText"/>
        <w:spacing w:after="120"/>
      </w:pPr>
      <w:r w:rsidRPr="00E94D24">
        <w:rPr>
          <w:rStyle w:val="FootnoteReference"/>
        </w:rPr>
        <w:footnoteRef/>
      </w:r>
      <w:r w:rsidRPr="00E94D24">
        <w:t xml:space="preserve"> A theory of change  is a way to make assumptions about how some factors lead to some type of social (or other) change which is subject to assessment for evaluating its relative effectiveness.  See, for instance, Schmitt, 2007 and Harris (2005).</w:t>
      </w:r>
    </w:p>
  </w:footnote>
  <w:footnote w:id="2">
    <w:p w:rsidR="00B55379" w:rsidRPr="00EC7291" w:rsidRDefault="00B55379" w:rsidP="00E94D24">
      <w:pPr>
        <w:pStyle w:val="FootnoteText"/>
        <w:spacing w:after="120"/>
        <w:rPr>
          <w:rFonts w:ascii="Arial" w:hAnsi="Arial" w:cs="Arial"/>
        </w:rPr>
      </w:pPr>
      <w:r w:rsidRPr="00E94D24">
        <w:rPr>
          <w:rStyle w:val="FootnoteReference"/>
        </w:rPr>
        <w:footnoteRef/>
      </w:r>
      <w:r w:rsidRPr="00E94D24">
        <w:t xml:space="preserve"> Despite a wealth of literature in the public health and social psychology fields in the 1980’s,  not much empirical testing of the model has occurred.  Many scholars have either qualified the model to better specify types of knowledge, attitudes, and behaviors involved or modified links.  For a nice synopsis of the model and its shortfalls, see Farrior (2005).</w:t>
      </w:r>
    </w:p>
  </w:footnote>
  <w:footnote w:id="3">
    <w:p w:rsidR="00B55379" w:rsidRPr="00E94D24" w:rsidRDefault="00B55379" w:rsidP="00E94D24">
      <w:pPr>
        <w:pStyle w:val="FootnoteText"/>
        <w:spacing w:after="120"/>
      </w:pPr>
      <w:r w:rsidRPr="00E94D24">
        <w:rPr>
          <w:rStyle w:val="FootnoteReference"/>
        </w:rPr>
        <w:footnoteRef/>
      </w:r>
      <w:r w:rsidRPr="00E94D24">
        <w:t xml:space="preserve"> By societal change, we are simplifying multiple units of change that extend beyond individuals, such as distinct groups, communities, and so forth.</w:t>
      </w:r>
    </w:p>
  </w:footnote>
  <w:footnote w:id="4">
    <w:p w:rsidR="00B55379" w:rsidRPr="00E94D24" w:rsidRDefault="00B55379" w:rsidP="00E94D24">
      <w:pPr>
        <w:pStyle w:val="Body1"/>
        <w:spacing w:after="120"/>
        <w:rPr>
          <w:rFonts w:ascii="Times New Roman" w:hAnsi="Times New Roman"/>
          <w:sz w:val="20"/>
        </w:rPr>
      </w:pPr>
      <w:r w:rsidRPr="00E94D24">
        <w:rPr>
          <w:rFonts w:ascii="Times New Roman" w:hAnsi="Times New Roman"/>
          <w:sz w:val="20"/>
          <w:vertAlign w:val="superscript"/>
        </w:rPr>
        <w:footnoteRef/>
      </w:r>
      <w:r w:rsidRPr="00E94D24">
        <w:rPr>
          <w:rFonts w:ascii="Times New Roman" w:hAnsi="Times New Roman"/>
          <w:sz w:val="20"/>
        </w:rPr>
        <w:t xml:space="preserve"> Those with experience in organizational politics may have seen this referenced as the “80:20” rule.  This means that change may never reach 20% of a target population.  </w:t>
      </w:r>
    </w:p>
  </w:footnote>
  <w:footnote w:id="5">
    <w:p w:rsidR="00B55379" w:rsidRPr="00613CE2" w:rsidRDefault="00B55379" w:rsidP="00E94D24">
      <w:pPr>
        <w:pStyle w:val="FootnoteText"/>
        <w:spacing w:after="120"/>
      </w:pPr>
      <w:r w:rsidRPr="00613CE2">
        <w:rPr>
          <w:rStyle w:val="FootnoteReference"/>
        </w:rPr>
        <w:footnoteRef/>
      </w:r>
      <w:r w:rsidRPr="00613CE2">
        <w:t xml:space="preserve">  The IMLS team working on </w:t>
      </w:r>
      <w:r w:rsidRPr="00613CE2">
        <w:rPr>
          <w:i/>
        </w:rPr>
        <w:t>Measuring Success</w:t>
      </w:r>
      <w:r w:rsidRPr="00613CE2">
        <w:t xml:space="preserve"> agreed that the </w:t>
      </w:r>
      <w:r>
        <w:t xml:space="preserve">fourth </w:t>
      </w:r>
      <w:r w:rsidRPr="00613CE2">
        <w:t xml:space="preserve">priority, partnerships, would </w:t>
      </w:r>
      <w:r>
        <w:t xml:space="preserve">be </w:t>
      </w:r>
      <w:r w:rsidRPr="00613CE2">
        <w:t>integrated in other priorities.  It also was decided to omit the last priority, since it allows the SLAAs to meet other non-specified state library needs with Grants to States funds.</w:t>
      </w:r>
    </w:p>
  </w:footnote>
  <w:footnote w:id="6">
    <w:p w:rsidR="00B55379" w:rsidRPr="00063B11" w:rsidRDefault="00B55379" w:rsidP="00E94D24">
      <w:pPr>
        <w:pStyle w:val="FootnoteText"/>
        <w:spacing w:after="120"/>
      </w:pPr>
      <w:r w:rsidRPr="00063B11">
        <w:rPr>
          <w:rStyle w:val="FootnoteReference"/>
        </w:rPr>
        <w:footnoteRef/>
      </w:r>
      <w:r w:rsidRPr="00063B11">
        <w:t xml:space="preserve"> Many team members participating in the Webinar process had not participated in the March 2011 conference.  </w:t>
      </w:r>
    </w:p>
  </w:footnote>
  <w:footnote w:id="7">
    <w:p w:rsidR="00B55379" w:rsidRDefault="00B55379">
      <w:pPr>
        <w:pStyle w:val="FootnoteText"/>
      </w:pPr>
      <w:r>
        <w:rPr>
          <w:rStyle w:val="FootnoteReference"/>
        </w:rPr>
        <w:footnoteRef/>
      </w:r>
      <w:r>
        <w:t xml:space="preserve"> Many states give project grants to different types of libraries. For the purposes of this paper, however, the discussion is confined to public libraries, since it is this type of library that has been the predominant focus of discussion during the Measuring Success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79" w:rsidRPr="00BB7E7E" w:rsidRDefault="00B55379">
    <w:pPr>
      <w:pStyle w:val="Header"/>
      <w:rPr>
        <w:i/>
      </w:rPr>
    </w:pPr>
    <w:r w:rsidRPr="00BB7E7E">
      <w:rPr>
        <w:i/>
      </w:rPr>
      <w:t>Changes in Library Evaluation</w:t>
    </w:r>
  </w:p>
  <w:p w:rsidR="00B55379" w:rsidRDefault="00B5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start w:val="1"/>
      <w:numFmt w:val="upperLetter"/>
      <w:pStyle w:val="Lett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56125"/>
    <w:multiLevelType w:val="hybridMultilevel"/>
    <w:tmpl w:val="18B8C664"/>
    <w:lvl w:ilvl="0" w:tplc="21B4590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3C68"/>
    <w:multiLevelType w:val="hybridMultilevel"/>
    <w:tmpl w:val="2B3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04059"/>
    <w:multiLevelType w:val="hybridMultilevel"/>
    <w:tmpl w:val="C8E0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206C"/>
    <w:multiLevelType w:val="hybridMultilevel"/>
    <w:tmpl w:val="25048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BE3214"/>
    <w:multiLevelType w:val="hybridMultilevel"/>
    <w:tmpl w:val="98183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65016"/>
    <w:multiLevelType w:val="hybridMultilevel"/>
    <w:tmpl w:val="08FC107A"/>
    <w:lvl w:ilvl="0" w:tplc="0266627C">
      <w:start w:val="1"/>
      <w:numFmt w:val="upperLetter"/>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467C8"/>
    <w:multiLevelType w:val="hybridMultilevel"/>
    <w:tmpl w:val="305C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2"/>
  </w:num>
  <w:num w:numId="7">
    <w:abstractNumId w:val="7"/>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89"/>
    <w:rsid w:val="000071D3"/>
    <w:rsid w:val="00007E2B"/>
    <w:rsid w:val="00011BD2"/>
    <w:rsid w:val="00013A26"/>
    <w:rsid w:val="00016127"/>
    <w:rsid w:val="00021BCF"/>
    <w:rsid w:val="000234DD"/>
    <w:rsid w:val="00032AA3"/>
    <w:rsid w:val="000348F6"/>
    <w:rsid w:val="000444FB"/>
    <w:rsid w:val="00050011"/>
    <w:rsid w:val="00050EB5"/>
    <w:rsid w:val="000510BF"/>
    <w:rsid w:val="00054360"/>
    <w:rsid w:val="00063B11"/>
    <w:rsid w:val="00065BBB"/>
    <w:rsid w:val="000770D8"/>
    <w:rsid w:val="0008695D"/>
    <w:rsid w:val="000873AE"/>
    <w:rsid w:val="000902BC"/>
    <w:rsid w:val="000909D1"/>
    <w:rsid w:val="00094DAB"/>
    <w:rsid w:val="000B376A"/>
    <w:rsid w:val="000B48C9"/>
    <w:rsid w:val="000B5415"/>
    <w:rsid w:val="000C0D88"/>
    <w:rsid w:val="000C0DC7"/>
    <w:rsid w:val="000D0EF5"/>
    <w:rsid w:val="000D3A59"/>
    <w:rsid w:val="000D56FB"/>
    <w:rsid w:val="000D7B11"/>
    <w:rsid w:val="000E4D43"/>
    <w:rsid w:val="000E61F2"/>
    <w:rsid w:val="000E7D27"/>
    <w:rsid w:val="000F4E2F"/>
    <w:rsid w:val="000F5BB1"/>
    <w:rsid w:val="00100309"/>
    <w:rsid w:val="00101477"/>
    <w:rsid w:val="001078B1"/>
    <w:rsid w:val="0011009A"/>
    <w:rsid w:val="00117BCF"/>
    <w:rsid w:val="0012477C"/>
    <w:rsid w:val="0013468B"/>
    <w:rsid w:val="00134DB8"/>
    <w:rsid w:val="00140362"/>
    <w:rsid w:val="00140CAB"/>
    <w:rsid w:val="00146083"/>
    <w:rsid w:val="001473CE"/>
    <w:rsid w:val="0015010D"/>
    <w:rsid w:val="00164811"/>
    <w:rsid w:val="00171322"/>
    <w:rsid w:val="00172A95"/>
    <w:rsid w:val="0017317E"/>
    <w:rsid w:val="00175CEB"/>
    <w:rsid w:val="001766A8"/>
    <w:rsid w:val="00182953"/>
    <w:rsid w:val="00191F5C"/>
    <w:rsid w:val="001960EE"/>
    <w:rsid w:val="00196384"/>
    <w:rsid w:val="001A4AAF"/>
    <w:rsid w:val="001A4E5C"/>
    <w:rsid w:val="001B0E61"/>
    <w:rsid w:val="001B6B89"/>
    <w:rsid w:val="001E0D28"/>
    <w:rsid w:val="001E1379"/>
    <w:rsid w:val="001E4153"/>
    <w:rsid w:val="001F0F77"/>
    <w:rsid w:val="001F45DF"/>
    <w:rsid w:val="001F5A46"/>
    <w:rsid w:val="001F631C"/>
    <w:rsid w:val="001F7257"/>
    <w:rsid w:val="00207A69"/>
    <w:rsid w:val="00213C60"/>
    <w:rsid w:val="0021479A"/>
    <w:rsid w:val="00227CA1"/>
    <w:rsid w:val="00235381"/>
    <w:rsid w:val="00240E9C"/>
    <w:rsid w:val="0024196C"/>
    <w:rsid w:val="00265127"/>
    <w:rsid w:val="00266476"/>
    <w:rsid w:val="002775C9"/>
    <w:rsid w:val="0028185F"/>
    <w:rsid w:val="0028277D"/>
    <w:rsid w:val="00282B88"/>
    <w:rsid w:val="00286DAA"/>
    <w:rsid w:val="002902F1"/>
    <w:rsid w:val="00290D74"/>
    <w:rsid w:val="00291DA4"/>
    <w:rsid w:val="0029290E"/>
    <w:rsid w:val="00294547"/>
    <w:rsid w:val="00294DF2"/>
    <w:rsid w:val="002B088F"/>
    <w:rsid w:val="002B7566"/>
    <w:rsid w:val="002C0D23"/>
    <w:rsid w:val="002C315B"/>
    <w:rsid w:val="002E26DA"/>
    <w:rsid w:val="002E2E8B"/>
    <w:rsid w:val="002F425B"/>
    <w:rsid w:val="00313A4F"/>
    <w:rsid w:val="00314D69"/>
    <w:rsid w:val="0031540B"/>
    <w:rsid w:val="00316EAD"/>
    <w:rsid w:val="00323D54"/>
    <w:rsid w:val="00332049"/>
    <w:rsid w:val="0033306B"/>
    <w:rsid w:val="00334F9F"/>
    <w:rsid w:val="00340199"/>
    <w:rsid w:val="0034427E"/>
    <w:rsid w:val="003454C3"/>
    <w:rsid w:val="0034657E"/>
    <w:rsid w:val="00347111"/>
    <w:rsid w:val="003500AB"/>
    <w:rsid w:val="0035669A"/>
    <w:rsid w:val="00360620"/>
    <w:rsid w:val="00370450"/>
    <w:rsid w:val="00371687"/>
    <w:rsid w:val="00383B58"/>
    <w:rsid w:val="00387A2E"/>
    <w:rsid w:val="00390BAD"/>
    <w:rsid w:val="00392D5D"/>
    <w:rsid w:val="00396E0A"/>
    <w:rsid w:val="003A1CC3"/>
    <w:rsid w:val="003B6364"/>
    <w:rsid w:val="003C6BD6"/>
    <w:rsid w:val="003D4225"/>
    <w:rsid w:val="003E32C4"/>
    <w:rsid w:val="003E52D5"/>
    <w:rsid w:val="003F37BB"/>
    <w:rsid w:val="003F4817"/>
    <w:rsid w:val="00412C52"/>
    <w:rsid w:val="00420CFB"/>
    <w:rsid w:val="00424027"/>
    <w:rsid w:val="0043129C"/>
    <w:rsid w:val="00431641"/>
    <w:rsid w:val="00436099"/>
    <w:rsid w:val="00441496"/>
    <w:rsid w:val="00466D45"/>
    <w:rsid w:val="00467E3C"/>
    <w:rsid w:val="004724CF"/>
    <w:rsid w:val="00476D08"/>
    <w:rsid w:val="00480E11"/>
    <w:rsid w:val="004929EC"/>
    <w:rsid w:val="004977F8"/>
    <w:rsid w:val="004A1358"/>
    <w:rsid w:val="004A334F"/>
    <w:rsid w:val="004A47D0"/>
    <w:rsid w:val="004B764F"/>
    <w:rsid w:val="004C21D8"/>
    <w:rsid w:val="004D3901"/>
    <w:rsid w:val="004E4E1D"/>
    <w:rsid w:val="00505DF0"/>
    <w:rsid w:val="00506138"/>
    <w:rsid w:val="00513727"/>
    <w:rsid w:val="00517B2A"/>
    <w:rsid w:val="005229D7"/>
    <w:rsid w:val="005275DC"/>
    <w:rsid w:val="0053306C"/>
    <w:rsid w:val="00536733"/>
    <w:rsid w:val="00540673"/>
    <w:rsid w:val="00543858"/>
    <w:rsid w:val="005505FB"/>
    <w:rsid w:val="005542DB"/>
    <w:rsid w:val="00555C21"/>
    <w:rsid w:val="005565EC"/>
    <w:rsid w:val="00565CB4"/>
    <w:rsid w:val="00567DF8"/>
    <w:rsid w:val="00570B3E"/>
    <w:rsid w:val="005745D5"/>
    <w:rsid w:val="00575EF7"/>
    <w:rsid w:val="00577DF7"/>
    <w:rsid w:val="00585D15"/>
    <w:rsid w:val="005A00BD"/>
    <w:rsid w:val="005A2419"/>
    <w:rsid w:val="005A6D55"/>
    <w:rsid w:val="005B2702"/>
    <w:rsid w:val="005B6863"/>
    <w:rsid w:val="005B7EAC"/>
    <w:rsid w:val="005C1A72"/>
    <w:rsid w:val="005F3EE7"/>
    <w:rsid w:val="005F6AA7"/>
    <w:rsid w:val="005F706C"/>
    <w:rsid w:val="00600D2B"/>
    <w:rsid w:val="0060140B"/>
    <w:rsid w:val="006034DB"/>
    <w:rsid w:val="00613CE2"/>
    <w:rsid w:val="00621C6E"/>
    <w:rsid w:val="00624730"/>
    <w:rsid w:val="006270D6"/>
    <w:rsid w:val="00627B31"/>
    <w:rsid w:val="0063242E"/>
    <w:rsid w:val="00640D3A"/>
    <w:rsid w:val="00650BE8"/>
    <w:rsid w:val="00651AE7"/>
    <w:rsid w:val="00653F36"/>
    <w:rsid w:val="00657DCF"/>
    <w:rsid w:val="006651B7"/>
    <w:rsid w:val="0067027E"/>
    <w:rsid w:val="00670C46"/>
    <w:rsid w:val="00671860"/>
    <w:rsid w:val="006759E4"/>
    <w:rsid w:val="00685AA7"/>
    <w:rsid w:val="00693393"/>
    <w:rsid w:val="00696FB5"/>
    <w:rsid w:val="006A7A31"/>
    <w:rsid w:val="006C1BEC"/>
    <w:rsid w:val="006C2EF8"/>
    <w:rsid w:val="006D1F66"/>
    <w:rsid w:val="006D5508"/>
    <w:rsid w:val="006D5826"/>
    <w:rsid w:val="006E0055"/>
    <w:rsid w:val="006E2361"/>
    <w:rsid w:val="006F0A63"/>
    <w:rsid w:val="006F2E38"/>
    <w:rsid w:val="007348F2"/>
    <w:rsid w:val="00747D81"/>
    <w:rsid w:val="0075561D"/>
    <w:rsid w:val="00761FF5"/>
    <w:rsid w:val="007641C2"/>
    <w:rsid w:val="00776742"/>
    <w:rsid w:val="00784000"/>
    <w:rsid w:val="007A3C06"/>
    <w:rsid w:val="007B5A26"/>
    <w:rsid w:val="007C46DD"/>
    <w:rsid w:val="007C557D"/>
    <w:rsid w:val="007D18B7"/>
    <w:rsid w:val="007D3D46"/>
    <w:rsid w:val="007D50C7"/>
    <w:rsid w:val="007E1FBC"/>
    <w:rsid w:val="007E3824"/>
    <w:rsid w:val="007E749C"/>
    <w:rsid w:val="00803777"/>
    <w:rsid w:val="008221FC"/>
    <w:rsid w:val="00823592"/>
    <w:rsid w:val="00825796"/>
    <w:rsid w:val="00846F63"/>
    <w:rsid w:val="00850FB2"/>
    <w:rsid w:val="008546AD"/>
    <w:rsid w:val="008568C4"/>
    <w:rsid w:val="00874A28"/>
    <w:rsid w:val="0087771A"/>
    <w:rsid w:val="00880805"/>
    <w:rsid w:val="00885A41"/>
    <w:rsid w:val="00885C4F"/>
    <w:rsid w:val="008925BF"/>
    <w:rsid w:val="008A148D"/>
    <w:rsid w:val="008A3CF2"/>
    <w:rsid w:val="008B1D8F"/>
    <w:rsid w:val="008B2C6F"/>
    <w:rsid w:val="008B79A4"/>
    <w:rsid w:val="008C009E"/>
    <w:rsid w:val="008C2180"/>
    <w:rsid w:val="008D3C26"/>
    <w:rsid w:val="008D59F8"/>
    <w:rsid w:val="008E1796"/>
    <w:rsid w:val="008E38C4"/>
    <w:rsid w:val="008E4195"/>
    <w:rsid w:val="008E54DB"/>
    <w:rsid w:val="008E709F"/>
    <w:rsid w:val="008F68C6"/>
    <w:rsid w:val="008F7E6F"/>
    <w:rsid w:val="009024B5"/>
    <w:rsid w:val="00903D4B"/>
    <w:rsid w:val="00921A46"/>
    <w:rsid w:val="00927D9A"/>
    <w:rsid w:val="00930CD5"/>
    <w:rsid w:val="00931D37"/>
    <w:rsid w:val="00931E7A"/>
    <w:rsid w:val="009432C6"/>
    <w:rsid w:val="00944E10"/>
    <w:rsid w:val="00957A8C"/>
    <w:rsid w:val="009646AE"/>
    <w:rsid w:val="00967C94"/>
    <w:rsid w:val="009709D8"/>
    <w:rsid w:val="0097358E"/>
    <w:rsid w:val="0097717A"/>
    <w:rsid w:val="009933B7"/>
    <w:rsid w:val="0099469A"/>
    <w:rsid w:val="00994AFC"/>
    <w:rsid w:val="009A04A4"/>
    <w:rsid w:val="009A1F16"/>
    <w:rsid w:val="009A2CDF"/>
    <w:rsid w:val="009A6F70"/>
    <w:rsid w:val="009C1179"/>
    <w:rsid w:val="009C7C17"/>
    <w:rsid w:val="009D291F"/>
    <w:rsid w:val="009D6AE8"/>
    <w:rsid w:val="009E2413"/>
    <w:rsid w:val="009E33F5"/>
    <w:rsid w:val="009E37EE"/>
    <w:rsid w:val="009E48A2"/>
    <w:rsid w:val="009F137B"/>
    <w:rsid w:val="009F1CDB"/>
    <w:rsid w:val="009F5C4D"/>
    <w:rsid w:val="00A05FAF"/>
    <w:rsid w:val="00A0686A"/>
    <w:rsid w:val="00A11468"/>
    <w:rsid w:val="00A14832"/>
    <w:rsid w:val="00A15CD9"/>
    <w:rsid w:val="00A35571"/>
    <w:rsid w:val="00A423A7"/>
    <w:rsid w:val="00A50189"/>
    <w:rsid w:val="00A52FEE"/>
    <w:rsid w:val="00A601BB"/>
    <w:rsid w:val="00A62F80"/>
    <w:rsid w:val="00A666B2"/>
    <w:rsid w:val="00A66C13"/>
    <w:rsid w:val="00A67172"/>
    <w:rsid w:val="00A73066"/>
    <w:rsid w:val="00A75324"/>
    <w:rsid w:val="00A8000E"/>
    <w:rsid w:val="00A8228F"/>
    <w:rsid w:val="00A916B2"/>
    <w:rsid w:val="00A96109"/>
    <w:rsid w:val="00A96DF5"/>
    <w:rsid w:val="00AA73FD"/>
    <w:rsid w:val="00AB08E1"/>
    <w:rsid w:val="00AB359F"/>
    <w:rsid w:val="00AB7D3C"/>
    <w:rsid w:val="00AC56C0"/>
    <w:rsid w:val="00AD0A5B"/>
    <w:rsid w:val="00AD69F4"/>
    <w:rsid w:val="00AE75BC"/>
    <w:rsid w:val="00AF2496"/>
    <w:rsid w:val="00AF2903"/>
    <w:rsid w:val="00AF2C2A"/>
    <w:rsid w:val="00AF55F4"/>
    <w:rsid w:val="00B0033B"/>
    <w:rsid w:val="00B00734"/>
    <w:rsid w:val="00B02DE5"/>
    <w:rsid w:val="00B03857"/>
    <w:rsid w:val="00B1350E"/>
    <w:rsid w:val="00B332D7"/>
    <w:rsid w:val="00B35462"/>
    <w:rsid w:val="00B37187"/>
    <w:rsid w:val="00B4260C"/>
    <w:rsid w:val="00B4404B"/>
    <w:rsid w:val="00B45D49"/>
    <w:rsid w:val="00B467B6"/>
    <w:rsid w:val="00B503ED"/>
    <w:rsid w:val="00B54874"/>
    <w:rsid w:val="00B55379"/>
    <w:rsid w:val="00B57667"/>
    <w:rsid w:val="00B64614"/>
    <w:rsid w:val="00B65BC7"/>
    <w:rsid w:val="00B7166C"/>
    <w:rsid w:val="00B771C6"/>
    <w:rsid w:val="00B82E5A"/>
    <w:rsid w:val="00B8437A"/>
    <w:rsid w:val="00B86939"/>
    <w:rsid w:val="00B90F79"/>
    <w:rsid w:val="00B96185"/>
    <w:rsid w:val="00B97C02"/>
    <w:rsid w:val="00BA44DD"/>
    <w:rsid w:val="00BB2306"/>
    <w:rsid w:val="00BB26F8"/>
    <w:rsid w:val="00BB7E7E"/>
    <w:rsid w:val="00BD090B"/>
    <w:rsid w:val="00BD618A"/>
    <w:rsid w:val="00BD7396"/>
    <w:rsid w:val="00BE360A"/>
    <w:rsid w:val="00BF4ECD"/>
    <w:rsid w:val="00C058FD"/>
    <w:rsid w:val="00C0700A"/>
    <w:rsid w:val="00C11298"/>
    <w:rsid w:val="00C16023"/>
    <w:rsid w:val="00C16262"/>
    <w:rsid w:val="00C30F8E"/>
    <w:rsid w:val="00C33F90"/>
    <w:rsid w:val="00C40B46"/>
    <w:rsid w:val="00C547D8"/>
    <w:rsid w:val="00C55761"/>
    <w:rsid w:val="00C563DE"/>
    <w:rsid w:val="00C64E06"/>
    <w:rsid w:val="00C6565B"/>
    <w:rsid w:val="00C66779"/>
    <w:rsid w:val="00C70744"/>
    <w:rsid w:val="00C75B8D"/>
    <w:rsid w:val="00C87909"/>
    <w:rsid w:val="00C95486"/>
    <w:rsid w:val="00C96DA2"/>
    <w:rsid w:val="00C97466"/>
    <w:rsid w:val="00CB2F1B"/>
    <w:rsid w:val="00CD00CA"/>
    <w:rsid w:val="00CD21B8"/>
    <w:rsid w:val="00CD2617"/>
    <w:rsid w:val="00CE2A4C"/>
    <w:rsid w:val="00D04E11"/>
    <w:rsid w:val="00D13225"/>
    <w:rsid w:val="00D165B9"/>
    <w:rsid w:val="00D213C3"/>
    <w:rsid w:val="00D23226"/>
    <w:rsid w:val="00D24477"/>
    <w:rsid w:val="00D266EA"/>
    <w:rsid w:val="00D315F9"/>
    <w:rsid w:val="00D33B47"/>
    <w:rsid w:val="00D36226"/>
    <w:rsid w:val="00D36FD3"/>
    <w:rsid w:val="00D402B1"/>
    <w:rsid w:val="00D43C3A"/>
    <w:rsid w:val="00D5075F"/>
    <w:rsid w:val="00D5118F"/>
    <w:rsid w:val="00D60E91"/>
    <w:rsid w:val="00D61688"/>
    <w:rsid w:val="00D626E5"/>
    <w:rsid w:val="00D6777D"/>
    <w:rsid w:val="00D67D36"/>
    <w:rsid w:val="00D76E8C"/>
    <w:rsid w:val="00D826EE"/>
    <w:rsid w:val="00D94873"/>
    <w:rsid w:val="00D96F40"/>
    <w:rsid w:val="00DA1398"/>
    <w:rsid w:val="00DA2079"/>
    <w:rsid w:val="00DA2653"/>
    <w:rsid w:val="00DA3B6E"/>
    <w:rsid w:val="00DB1368"/>
    <w:rsid w:val="00DB1A41"/>
    <w:rsid w:val="00DB7945"/>
    <w:rsid w:val="00DD519D"/>
    <w:rsid w:val="00DD7B49"/>
    <w:rsid w:val="00E032D2"/>
    <w:rsid w:val="00E1127F"/>
    <w:rsid w:val="00E130E3"/>
    <w:rsid w:val="00E2011E"/>
    <w:rsid w:val="00E30587"/>
    <w:rsid w:val="00E31447"/>
    <w:rsid w:val="00E66526"/>
    <w:rsid w:val="00E66537"/>
    <w:rsid w:val="00E72378"/>
    <w:rsid w:val="00E75CEE"/>
    <w:rsid w:val="00E76189"/>
    <w:rsid w:val="00E80BE6"/>
    <w:rsid w:val="00E80F91"/>
    <w:rsid w:val="00E81A6A"/>
    <w:rsid w:val="00E83BA1"/>
    <w:rsid w:val="00E849E6"/>
    <w:rsid w:val="00E84D93"/>
    <w:rsid w:val="00E867B1"/>
    <w:rsid w:val="00E94004"/>
    <w:rsid w:val="00E94CA5"/>
    <w:rsid w:val="00E94D24"/>
    <w:rsid w:val="00EA3706"/>
    <w:rsid w:val="00EB7CA9"/>
    <w:rsid w:val="00EC7291"/>
    <w:rsid w:val="00ED2F33"/>
    <w:rsid w:val="00EE46BC"/>
    <w:rsid w:val="00EF624E"/>
    <w:rsid w:val="00F00B76"/>
    <w:rsid w:val="00F13906"/>
    <w:rsid w:val="00F16A09"/>
    <w:rsid w:val="00F32309"/>
    <w:rsid w:val="00F378DD"/>
    <w:rsid w:val="00F567FD"/>
    <w:rsid w:val="00F608F7"/>
    <w:rsid w:val="00F75E26"/>
    <w:rsid w:val="00F8340F"/>
    <w:rsid w:val="00F9688A"/>
    <w:rsid w:val="00FA2933"/>
    <w:rsid w:val="00FA2E63"/>
    <w:rsid w:val="00FB59D6"/>
    <w:rsid w:val="00FC45D6"/>
    <w:rsid w:val="00FC6DE4"/>
    <w:rsid w:val="00FD12F9"/>
    <w:rsid w:val="00FD5933"/>
    <w:rsid w:val="00FE1E49"/>
    <w:rsid w:val="00FF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6A7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B503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Lettered"/>
    <w:semiHidden/>
    <w:pPr>
      <w:numPr>
        <w:numId w:val="1"/>
      </w:numPr>
    </w:pPr>
  </w:style>
  <w:style w:type="paragraph" w:customStyle="1" w:styleId="Lettered">
    <w:name w:val="Lettered"/>
    <w:pPr>
      <w:numPr>
        <w:numId w:val="2"/>
      </w:numPr>
    </w:pPr>
  </w:style>
  <w:style w:type="paragraph" w:styleId="FootnoteText">
    <w:name w:val="footnote text"/>
    <w:basedOn w:val="Normal"/>
    <w:link w:val="FootnoteTextChar"/>
    <w:locked/>
    <w:rsid w:val="00517B2A"/>
    <w:rPr>
      <w:sz w:val="20"/>
      <w:szCs w:val="20"/>
    </w:rPr>
  </w:style>
  <w:style w:type="character" w:customStyle="1" w:styleId="FootnoteTextChar">
    <w:name w:val="Footnote Text Char"/>
    <w:basedOn w:val="DefaultParagraphFont"/>
    <w:link w:val="FootnoteText"/>
    <w:rsid w:val="00517B2A"/>
  </w:style>
  <w:style w:type="character" w:styleId="FootnoteReference">
    <w:name w:val="footnote reference"/>
    <w:locked/>
    <w:rsid w:val="00517B2A"/>
    <w:rPr>
      <w:vertAlign w:val="superscript"/>
    </w:rPr>
  </w:style>
  <w:style w:type="paragraph" w:styleId="ListParagraph">
    <w:name w:val="List Paragraph"/>
    <w:basedOn w:val="Normal"/>
    <w:uiPriority w:val="34"/>
    <w:qFormat/>
    <w:rsid w:val="00517B2A"/>
    <w:pPr>
      <w:ind w:left="720"/>
      <w:contextualSpacing/>
    </w:pPr>
    <w:rPr>
      <w:rFonts w:eastAsia="Calibri"/>
    </w:rPr>
  </w:style>
  <w:style w:type="character" w:styleId="CommentReference">
    <w:name w:val="annotation reference"/>
    <w:locked/>
    <w:rsid w:val="008B1D8F"/>
    <w:rPr>
      <w:sz w:val="16"/>
      <w:szCs w:val="16"/>
    </w:rPr>
  </w:style>
  <w:style w:type="paragraph" w:styleId="CommentText">
    <w:name w:val="annotation text"/>
    <w:basedOn w:val="Normal"/>
    <w:link w:val="CommentTextChar"/>
    <w:locked/>
    <w:rsid w:val="008B1D8F"/>
    <w:rPr>
      <w:sz w:val="20"/>
      <w:szCs w:val="20"/>
    </w:rPr>
  </w:style>
  <w:style w:type="character" w:customStyle="1" w:styleId="CommentTextChar">
    <w:name w:val="Comment Text Char"/>
    <w:basedOn w:val="DefaultParagraphFont"/>
    <w:link w:val="CommentText"/>
    <w:rsid w:val="008B1D8F"/>
  </w:style>
  <w:style w:type="paragraph" w:styleId="BalloonText">
    <w:name w:val="Balloon Text"/>
    <w:basedOn w:val="Normal"/>
    <w:link w:val="BalloonTextChar"/>
    <w:locked/>
    <w:rsid w:val="008B1D8F"/>
    <w:rPr>
      <w:rFonts w:ascii="Tahoma" w:hAnsi="Tahoma" w:cs="Tahoma"/>
      <w:sz w:val="16"/>
      <w:szCs w:val="16"/>
    </w:rPr>
  </w:style>
  <w:style w:type="character" w:customStyle="1" w:styleId="BalloonTextChar">
    <w:name w:val="Balloon Text Char"/>
    <w:link w:val="BalloonText"/>
    <w:rsid w:val="008B1D8F"/>
    <w:rPr>
      <w:rFonts w:ascii="Tahoma" w:hAnsi="Tahoma" w:cs="Tahoma"/>
      <w:sz w:val="16"/>
      <w:szCs w:val="16"/>
    </w:rPr>
  </w:style>
  <w:style w:type="paragraph" w:styleId="CommentSubject">
    <w:name w:val="annotation subject"/>
    <w:basedOn w:val="CommentText"/>
    <w:next w:val="CommentText"/>
    <w:link w:val="CommentSubjectChar"/>
    <w:locked/>
    <w:rsid w:val="00E130E3"/>
    <w:rPr>
      <w:b/>
      <w:bCs/>
    </w:rPr>
  </w:style>
  <w:style w:type="character" w:customStyle="1" w:styleId="CommentSubjectChar">
    <w:name w:val="Comment Subject Char"/>
    <w:link w:val="CommentSubject"/>
    <w:rsid w:val="00E130E3"/>
    <w:rPr>
      <w:b/>
      <w:bCs/>
    </w:rPr>
  </w:style>
  <w:style w:type="character" w:styleId="Hyperlink">
    <w:name w:val="Hyperlink"/>
    <w:uiPriority w:val="99"/>
    <w:unhideWhenUsed/>
    <w:locked/>
    <w:rsid w:val="000444FB"/>
    <w:rPr>
      <w:color w:val="0000FF"/>
      <w:u w:val="single"/>
    </w:rPr>
  </w:style>
  <w:style w:type="character" w:customStyle="1" w:styleId="Heading3Char">
    <w:name w:val="Heading 3 Char"/>
    <w:link w:val="Heading3"/>
    <w:uiPriority w:val="9"/>
    <w:rsid w:val="00B503ED"/>
    <w:rPr>
      <w:b/>
      <w:bCs/>
      <w:sz w:val="27"/>
      <w:szCs w:val="27"/>
    </w:rPr>
  </w:style>
  <w:style w:type="character" w:styleId="Emphasis">
    <w:name w:val="Emphasis"/>
    <w:uiPriority w:val="20"/>
    <w:qFormat/>
    <w:locked/>
    <w:rsid w:val="00B503ED"/>
    <w:rPr>
      <w:i/>
      <w:iCs/>
    </w:rPr>
  </w:style>
  <w:style w:type="paragraph" w:styleId="Header">
    <w:name w:val="header"/>
    <w:basedOn w:val="Normal"/>
    <w:link w:val="HeaderChar"/>
    <w:uiPriority w:val="99"/>
    <w:locked/>
    <w:rsid w:val="00146083"/>
    <w:pPr>
      <w:tabs>
        <w:tab w:val="center" w:pos="4680"/>
        <w:tab w:val="right" w:pos="9360"/>
      </w:tabs>
    </w:pPr>
  </w:style>
  <w:style w:type="character" w:customStyle="1" w:styleId="HeaderChar">
    <w:name w:val="Header Char"/>
    <w:link w:val="Header"/>
    <w:uiPriority w:val="99"/>
    <w:rsid w:val="00146083"/>
    <w:rPr>
      <w:sz w:val="24"/>
      <w:szCs w:val="24"/>
    </w:rPr>
  </w:style>
  <w:style w:type="paragraph" w:styleId="Footer">
    <w:name w:val="footer"/>
    <w:basedOn w:val="Normal"/>
    <w:link w:val="FooterChar"/>
    <w:uiPriority w:val="99"/>
    <w:locked/>
    <w:rsid w:val="00146083"/>
    <w:pPr>
      <w:tabs>
        <w:tab w:val="center" w:pos="4680"/>
        <w:tab w:val="right" w:pos="9360"/>
      </w:tabs>
    </w:pPr>
  </w:style>
  <w:style w:type="character" w:customStyle="1" w:styleId="FooterChar">
    <w:name w:val="Footer Char"/>
    <w:link w:val="Footer"/>
    <w:uiPriority w:val="99"/>
    <w:rsid w:val="00146083"/>
    <w:rPr>
      <w:sz w:val="24"/>
      <w:szCs w:val="24"/>
    </w:rPr>
  </w:style>
  <w:style w:type="paragraph" w:customStyle="1" w:styleId="Default">
    <w:name w:val="Default"/>
    <w:rsid w:val="0099469A"/>
    <w:pPr>
      <w:autoSpaceDE w:val="0"/>
      <w:autoSpaceDN w:val="0"/>
      <w:adjustRightInd w:val="0"/>
    </w:pPr>
    <w:rPr>
      <w:rFonts w:eastAsiaTheme="minorHAnsi"/>
      <w:color w:val="000000"/>
      <w:sz w:val="24"/>
      <w:szCs w:val="24"/>
    </w:rPr>
  </w:style>
  <w:style w:type="paragraph" w:styleId="Revision">
    <w:name w:val="Revision"/>
    <w:hidden/>
    <w:uiPriority w:val="99"/>
    <w:semiHidden/>
    <w:rsid w:val="00AF55F4"/>
    <w:rPr>
      <w:sz w:val="24"/>
      <w:szCs w:val="24"/>
    </w:rPr>
  </w:style>
  <w:style w:type="character" w:customStyle="1" w:styleId="Heading1Char">
    <w:name w:val="Heading 1 Char"/>
    <w:basedOn w:val="DefaultParagraphFont"/>
    <w:link w:val="Heading1"/>
    <w:rsid w:val="006A7A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6A7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B503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Lettered"/>
    <w:semiHidden/>
    <w:pPr>
      <w:numPr>
        <w:numId w:val="1"/>
      </w:numPr>
    </w:pPr>
  </w:style>
  <w:style w:type="paragraph" w:customStyle="1" w:styleId="Lettered">
    <w:name w:val="Lettered"/>
    <w:pPr>
      <w:numPr>
        <w:numId w:val="2"/>
      </w:numPr>
    </w:pPr>
  </w:style>
  <w:style w:type="paragraph" w:styleId="FootnoteText">
    <w:name w:val="footnote text"/>
    <w:basedOn w:val="Normal"/>
    <w:link w:val="FootnoteTextChar"/>
    <w:locked/>
    <w:rsid w:val="00517B2A"/>
    <w:rPr>
      <w:sz w:val="20"/>
      <w:szCs w:val="20"/>
    </w:rPr>
  </w:style>
  <w:style w:type="character" w:customStyle="1" w:styleId="FootnoteTextChar">
    <w:name w:val="Footnote Text Char"/>
    <w:basedOn w:val="DefaultParagraphFont"/>
    <w:link w:val="FootnoteText"/>
    <w:rsid w:val="00517B2A"/>
  </w:style>
  <w:style w:type="character" w:styleId="FootnoteReference">
    <w:name w:val="footnote reference"/>
    <w:locked/>
    <w:rsid w:val="00517B2A"/>
    <w:rPr>
      <w:vertAlign w:val="superscript"/>
    </w:rPr>
  </w:style>
  <w:style w:type="paragraph" w:styleId="ListParagraph">
    <w:name w:val="List Paragraph"/>
    <w:basedOn w:val="Normal"/>
    <w:uiPriority w:val="34"/>
    <w:qFormat/>
    <w:rsid w:val="00517B2A"/>
    <w:pPr>
      <w:ind w:left="720"/>
      <w:contextualSpacing/>
    </w:pPr>
    <w:rPr>
      <w:rFonts w:eastAsia="Calibri"/>
    </w:rPr>
  </w:style>
  <w:style w:type="character" w:styleId="CommentReference">
    <w:name w:val="annotation reference"/>
    <w:locked/>
    <w:rsid w:val="008B1D8F"/>
    <w:rPr>
      <w:sz w:val="16"/>
      <w:szCs w:val="16"/>
    </w:rPr>
  </w:style>
  <w:style w:type="paragraph" w:styleId="CommentText">
    <w:name w:val="annotation text"/>
    <w:basedOn w:val="Normal"/>
    <w:link w:val="CommentTextChar"/>
    <w:locked/>
    <w:rsid w:val="008B1D8F"/>
    <w:rPr>
      <w:sz w:val="20"/>
      <w:szCs w:val="20"/>
    </w:rPr>
  </w:style>
  <w:style w:type="character" w:customStyle="1" w:styleId="CommentTextChar">
    <w:name w:val="Comment Text Char"/>
    <w:basedOn w:val="DefaultParagraphFont"/>
    <w:link w:val="CommentText"/>
    <w:rsid w:val="008B1D8F"/>
  </w:style>
  <w:style w:type="paragraph" w:styleId="BalloonText">
    <w:name w:val="Balloon Text"/>
    <w:basedOn w:val="Normal"/>
    <w:link w:val="BalloonTextChar"/>
    <w:locked/>
    <w:rsid w:val="008B1D8F"/>
    <w:rPr>
      <w:rFonts w:ascii="Tahoma" w:hAnsi="Tahoma" w:cs="Tahoma"/>
      <w:sz w:val="16"/>
      <w:szCs w:val="16"/>
    </w:rPr>
  </w:style>
  <w:style w:type="character" w:customStyle="1" w:styleId="BalloonTextChar">
    <w:name w:val="Balloon Text Char"/>
    <w:link w:val="BalloonText"/>
    <w:rsid w:val="008B1D8F"/>
    <w:rPr>
      <w:rFonts w:ascii="Tahoma" w:hAnsi="Tahoma" w:cs="Tahoma"/>
      <w:sz w:val="16"/>
      <w:szCs w:val="16"/>
    </w:rPr>
  </w:style>
  <w:style w:type="paragraph" w:styleId="CommentSubject">
    <w:name w:val="annotation subject"/>
    <w:basedOn w:val="CommentText"/>
    <w:next w:val="CommentText"/>
    <w:link w:val="CommentSubjectChar"/>
    <w:locked/>
    <w:rsid w:val="00E130E3"/>
    <w:rPr>
      <w:b/>
      <w:bCs/>
    </w:rPr>
  </w:style>
  <w:style w:type="character" w:customStyle="1" w:styleId="CommentSubjectChar">
    <w:name w:val="Comment Subject Char"/>
    <w:link w:val="CommentSubject"/>
    <w:rsid w:val="00E130E3"/>
    <w:rPr>
      <w:b/>
      <w:bCs/>
    </w:rPr>
  </w:style>
  <w:style w:type="character" w:styleId="Hyperlink">
    <w:name w:val="Hyperlink"/>
    <w:uiPriority w:val="99"/>
    <w:unhideWhenUsed/>
    <w:locked/>
    <w:rsid w:val="000444FB"/>
    <w:rPr>
      <w:color w:val="0000FF"/>
      <w:u w:val="single"/>
    </w:rPr>
  </w:style>
  <w:style w:type="character" w:customStyle="1" w:styleId="Heading3Char">
    <w:name w:val="Heading 3 Char"/>
    <w:link w:val="Heading3"/>
    <w:uiPriority w:val="9"/>
    <w:rsid w:val="00B503ED"/>
    <w:rPr>
      <w:b/>
      <w:bCs/>
      <w:sz w:val="27"/>
      <w:szCs w:val="27"/>
    </w:rPr>
  </w:style>
  <w:style w:type="character" w:styleId="Emphasis">
    <w:name w:val="Emphasis"/>
    <w:uiPriority w:val="20"/>
    <w:qFormat/>
    <w:locked/>
    <w:rsid w:val="00B503ED"/>
    <w:rPr>
      <w:i/>
      <w:iCs/>
    </w:rPr>
  </w:style>
  <w:style w:type="paragraph" w:styleId="Header">
    <w:name w:val="header"/>
    <w:basedOn w:val="Normal"/>
    <w:link w:val="HeaderChar"/>
    <w:uiPriority w:val="99"/>
    <w:locked/>
    <w:rsid w:val="00146083"/>
    <w:pPr>
      <w:tabs>
        <w:tab w:val="center" w:pos="4680"/>
        <w:tab w:val="right" w:pos="9360"/>
      </w:tabs>
    </w:pPr>
  </w:style>
  <w:style w:type="character" w:customStyle="1" w:styleId="HeaderChar">
    <w:name w:val="Header Char"/>
    <w:link w:val="Header"/>
    <w:uiPriority w:val="99"/>
    <w:rsid w:val="00146083"/>
    <w:rPr>
      <w:sz w:val="24"/>
      <w:szCs w:val="24"/>
    </w:rPr>
  </w:style>
  <w:style w:type="paragraph" w:styleId="Footer">
    <w:name w:val="footer"/>
    <w:basedOn w:val="Normal"/>
    <w:link w:val="FooterChar"/>
    <w:uiPriority w:val="99"/>
    <w:locked/>
    <w:rsid w:val="00146083"/>
    <w:pPr>
      <w:tabs>
        <w:tab w:val="center" w:pos="4680"/>
        <w:tab w:val="right" w:pos="9360"/>
      </w:tabs>
    </w:pPr>
  </w:style>
  <w:style w:type="character" w:customStyle="1" w:styleId="FooterChar">
    <w:name w:val="Footer Char"/>
    <w:link w:val="Footer"/>
    <w:uiPriority w:val="99"/>
    <w:rsid w:val="00146083"/>
    <w:rPr>
      <w:sz w:val="24"/>
      <w:szCs w:val="24"/>
    </w:rPr>
  </w:style>
  <w:style w:type="paragraph" w:customStyle="1" w:styleId="Default">
    <w:name w:val="Default"/>
    <w:rsid w:val="0099469A"/>
    <w:pPr>
      <w:autoSpaceDE w:val="0"/>
      <w:autoSpaceDN w:val="0"/>
      <w:adjustRightInd w:val="0"/>
    </w:pPr>
    <w:rPr>
      <w:rFonts w:eastAsiaTheme="minorHAnsi"/>
      <w:color w:val="000000"/>
      <w:sz w:val="24"/>
      <w:szCs w:val="24"/>
    </w:rPr>
  </w:style>
  <w:style w:type="paragraph" w:styleId="Revision">
    <w:name w:val="Revision"/>
    <w:hidden/>
    <w:uiPriority w:val="99"/>
    <w:semiHidden/>
    <w:rsid w:val="00AF55F4"/>
    <w:rPr>
      <w:sz w:val="24"/>
      <w:szCs w:val="24"/>
    </w:rPr>
  </w:style>
  <w:style w:type="character" w:customStyle="1" w:styleId="Heading1Char">
    <w:name w:val="Heading 1 Char"/>
    <w:basedOn w:val="DefaultParagraphFont"/>
    <w:link w:val="Heading1"/>
    <w:rsid w:val="006A7A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492">
      <w:bodyDiv w:val="1"/>
      <w:marLeft w:val="0"/>
      <w:marRight w:val="0"/>
      <w:marTop w:val="0"/>
      <w:marBottom w:val="0"/>
      <w:divBdr>
        <w:top w:val="none" w:sz="0" w:space="0" w:color="auto"/>
        <w:left w:val="none" w:sz="0" w:space="0" w:color="auto"/>
        <w:bottom w:val="none" w:sz="0" w:space="0" w:color="auto"/>
        <w:right w:val="none" w:sz="0" w:space="0" w:color="auto"/>
      </w:divBdr>
    </w:div>
    <w:div w:id="1349334648">
      <w:bodyDiv w:val="1"/>
      <w:marLeft w:val="0"/>
      <w:marRight w:val="0"/>
      <w:marTop w:val="0"/>
      <w:marBottom w:val="0"/>
      <w:divBdr>
        <w:top w:val="none" w:sz="0" w:space="0" w:color="auto"/>
        <w:left w:val="none" w:sz="0" w:space="0" w:color="auto"/>
        <w:bottom w:val="none" w:sz="0" w:space="0" w:color="auto"/>
        <w:right w:val="none" w:sz="0" w:space="0" w:color="auto"/>
      </w:divBdr>
    </w:div>
    <w:div w:id="17738939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spect.org/article/tehory-change-prim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s.gov/assets/1/News/PLS200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frp.org/evaluation/the-evaluation-exchange/issue-archive/evaluation-methodology/an-introduction-to-theory-of-change" TargetMode="External"/><Relationship Id="rId4" Type="http://schemas.microsoft.com/office/2007/relationships/stylesWithEffects" Target="stylesWithEffects.xml"/><Relationship Id="rId9" Type="http://schemas.openxmlformats.org/officeDocument/2006/relationships/hyperlink" Target="http://www.biodiverse.org/docs/publicationsandtipsheets/breakthroughstrategiesforengagingthepubli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E5A8-9DD5-41A8-BF24-63948446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8437</Words>
  <Characters>50123</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Despite about a decade of grant-making using program evaluation formally as part of grant-making in federal library programs in the United States, the practice remains relatively nascent, especially when compared to related fields of public service inclu</vt:lpstr>
    </vt:vector>
  </TitlesOfParts>
  <Company>Microsoft</Company>
  <LinksUpToDate>false</LinksUpToDate>
  <CharactersWithSpaces>58444</CharactersWithSpaces>
  <SharedDoc>false</SharedDoc>
  <HLinks>
    <vt:vector size="12" baseType="variant">
      <vt:variant>
        <vt:i4>8257652</vt:i4>
      </vt:variant>
      <vt:variant>
        <vt:i4>3</vt:i4>
      </vt:variant>
      <vt:variant>
        <vt:i4>0</vt:i4>
      </vt:variant>
      <vt:variant>
        <vt:i4>5</vt:i4>
      </vt:variant>
      <vt:variant>
        <vt:lpwstr>http://www.whitehouse.gov/omb/mgmt-gpra/index-gpra</vt:lpwstr>
      </vt:variant>
      <vt:variant>
        <vt:lpwstr/>
      </vt:variant>
      <vt:variant>
        <vt:i4>5242899</vt:i4>
      </vt:variant>
      <vt:variant>
        <vt:i4>0</vt:i4>
      </vt:variant>
      <vt:variant>
        <vt:i4>0</vt:i4>
      </vt:variant>
      <vt:variant>
        <vt:i4>5</vt:i4>
      </vt:variant>
      <vt:variant>
        <vt:lpwstr>http://www.imls.gov/applicants/detail.aspx?GrantId=8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about a decade of grant-making using program evaluation formally as part of grant-making in federal library programs in the United States, the practice remains relatively nascent, especially when compared to related fields of public service inclu</dc:title>
  <dc:creator>Denise Cohen</dc:creator>
  <cp:lastModifiedBy>Matthew Birnbaum</cp:lastModifiedBy>
  <cp:revision>4</cp:revision>
  <cp:lastPrinted>2012-10-23T15:48:00Z</cp:lastPrinted>
  <dcterms:created xsi:type="dcterms:W3CDTF">2012-03-30T20:30:00Z</dcterms:created>
  <dcterms:modified xsi:type="dcterms:W3CDTF">2012-10-23T16:26:00Z</dcterms:modified>
</cp:coreProperties>
</file>