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A5" w:rsidRDefault="008C05A5">
      <w:pPr>
        <w:rPr>
          <w:rFonts w:ascii="Tahoma" w:hAnsi="Tahoma" w:cs="Tahoma"/>
          <w:b/>
          <w:bCs/>
          <w:color w:val="000000"/>
          <w:sz w:val="20"/>
          <w:szCs w:val="20"/>
        </w:rPr>
      </w:pPr>
      <w:r>
        <w:rPr>
          <w:rFonts w:ascii="Tahoma" w:hAnsi="Tahoma" w:cs="Tahoma"/>
          <w:b/>
          <w:bCs/>
          <w:color w:val="000000"/>
          <w:sz w:val="20"/>
          <w:szCs w:val="20"/>
        </w:rPr>
        <w:t>Planning and Conducting an Evaluation of an Inquiry-based Science Kit Intervention in Four Public School Districts</w:t>
      </w:r>
    </w:p>
    <w:p w:rsidR="00891819" w:rsidRDefault="00891819">
      <w:pPr>
        <w:rPr>
          <w:rFonts w:ascii="Tahoma" w:eastAsia="Times New Roman" w:hAnsi="Tahoma" w:cs="Tahoma"/>
          <w:sz w:val="20"/>
          <w:szCs w:val="20"/>
        </w:rPr>
      </w:pPr>
      <w:proofErr w:type="gramStart"/>
      <w:r>
        <w:rPr>
          <w:rFonts w:ascii="Tahoma" w:hAnsi="Tahoma" w:cs="Tahoma"/>
          <w:b/>
          <w:bCs/>
          <w:color w:val="000000"/>
          <w:sz w:val="20"/>
          <w:szCs w:val="20"/>
        </w:rPr>
        <w:t>Sarah J. Brasiel, Leslie Grunden, and Eric Rolfhus, Edvance Research, Inc.</w:t>
      </w:r>
      <w:proofErr w:type="gramEnd"/>
    </w:p>
    <w:p w:rsidR="006B33F0" w:rsidRPr="00891819" w:rsidRDefault="008C05A5">
      <w:pPr>
        <w:rPr>
          <w:rFonts w:ascii="Times New Roman" w:eastAsia="Times New Roman" w:hAnsi="Times New Roman" w:cs="Times New Roman"/>
          <w:i/>
          <w:sz w:val="24"/>
          <w:szCs w:val="24"/>
        </w:rPr>
      </w:pPr>
      <w:r w:rsidRPr="00891819">
        <w:rPr>
          <w:rFonts w:ascii="Times New Roman" w:eastAsia="Times New Roman" w:hAnsi="Times New Roman" w:cs="Times New Roman"/>
          <w:i/>
          <w:sz w:val="24"/>
          <w:szCs w:val="24"/>
        </w:rPr>
        <w:t>This paper presents the challenges and lessons learned from an external evaluation of a regional program designed to improve science and literacy achievement for high-needs students in grades K</w:t>
      </w:r>
      <w:r w:rsidR="00CF1CEB">
        <w:rPr>
          <w:rFonts w:ascii="Times New Roman" w:eastAsia="Times New Roman" w:hAnsi="Times New Roman" w:cs="Times New Roman"/>
          <w:i/>
          <w:sz w:val="24"/>
          <w:szCs w:val="24"/>
        </w:rPr>
        <w:t>–</w:t>
      </w:r>
      <w:r w:rsidRPr="00891819">
        <w:rPr>
          <w:rFonts w:ascii="Times New Roman" w:eastAsia="Times New Roman" w:hAnsi="Times New Roman" w:cs="Times New Roman"/>
          <w:i/>
          <w:sz w:val="24"/>
          <w:szCs w:val="24"/>
        </w:rPr>
        <w:t>6. The program's goals were to strengthen teacher understanding of science and quality of instruction in 4 districts, through professional development and coaching that supports inquiry-based science kit instruction. Lessons learned for evaluators include the importance of communication with project researchers to understand the day-to-day implementation issues that could potentially bias analytic findings, the challenges around access to student-level data to create propensity-score matched samples when random assignment is not possible, the use of descriptive data and graphical representations to improve clarity of the findings to local stakeholders, and documenting implementation issues throughout the study to guide researchers in improving implementation in future years.</w:t>
      </w:r>
    </w:p>
    <w:p w:rsidR="00891819" w:rsidRDefault="00891819" w:rsidP="00891819">
      <w:pPr>
        <w:ind w:firstLine="720"/>
        <w:rPr>
          <w:rFonts w:ascii="Times New Roman" w:hAnsi="Times New Roman"/>
          <w:szCs w:val="24"/>
        </w:rPr>
      </w:pPr>
      <w:r>
        <w:rPr>
          <w:rFonts w:ascii="Times New Roman" w:hAnsi="Times New Roman"/>
          <w:szCs w:val="24"/>
        </w:rPr>
        <w:t>This evaluation is of an inquiry-science curriculum and instruction intervention for teachers in grades K</w:t>
      </w:r>
      <w:r w:rsidR="00CF1CEB">
        <w:rPr>
          <w:rFonts w:ascii="Times New Roman" w:hAnsi="Times New Roman" w:cs="Times New Roman"/>
          <w:szCs w:val="24"/>
        </w:rPr>
        <w:t>–</w:t>
      </w:r>
      <w:r>
        <w:rPr>
          <w:rFonts w:ascii="Times New Roman" w:hAnsi="Times New Roman"/>
          <w:szCs w:val="24"/>
        </w:rPr>
        <w:t>6</w:t>
      </w:r>
      <w:r w:rsidRPr="00D14373">
        <w:rPr>
          <w:rFonts w:ascii="Times New Roman" w:hAnsi="Times New Roman"/>
          <w:szCs w:val="24"/>
        </w:rPr>
        <w:t xml:space="preserve"> in </w:t>
      </w:r>
      <w:r w:rsidR="00CF1CEB">
        <w:rPr>
          <w:rFonts w:ascii="Times New Roman" w:hAnsi="Times New Roman"/>
          <w:szCs w:val="24"/>
        </w:rPr>
        <w:t>10</w:t>
      </w:r>
      <w:r>
        <w:rPr>
          <w:rFonts w:ascii="Times New Roman" w:hAnsi="Times New Roman"/>
          <w:szCs w:val="24"/>
        </w:rPr>
        <w:t xml:space="preserve"> participating schools within </w:t>
      </w:r>
      <w:r w:rsidR="00CF1CEB">
        <w:rPr>
          <w:rFonts w:ascii="Times New Roman" w:hAnsi="Times New Roman"/>
          <w:szCs w:val="24"/>
        </w:rPr>
        <w:t>4</w:t>
      </w:r>
      <w:r w:rsidR="00CF1CEB" w:rsidRPr="00D14373">
        <w:rPr>
          <w:rFonts w:ascii="Times New Roman" w:hAnsi="Times New Roman"/>
          <w:szCs w:val="24"/>
        </w:rPr>
        <w:t xml:space="preserve"> </w:t>
      </w:r>
      <w:r>
        <w:rPr>
          <w:rFonts w:ascii="Times New Roman" w:hAnsi="Times New Roman"/>
          <w:szCs w:val="24"/>
        </w:rPr>
        <w:t xml:space="preserve">school </w:t>
      </w:r>
      <w:r w:rsidRPr="00D14373">
        <w:rPr>
          <w:rFonts w:ascii="Times New Roman" w:hAnsi="Times New Roman"/>
          <w:szCs w:val="24"/>
        </w:rPr>
        <w:t xml:space="preserve">districts </w:t>
      </w:r>
      <w:r>
        <w:rPr>
          <w:rFonts w:ascii="Times New Roman" w:hAnsi="Times New Roman"/>
          <w:szCs w:val="24"/>
        </w:rPr>
        <w:t xml:space="preserve">in the Southwest. Teachers received professional development </w:t>
      </w:r>
      <w:r w:rsidR="00C50C63">
        <w:rPr>
          <w:rFonts w:ascii="Times New Roman" w:hAnsi="Times New Roman"/>
          <w:szCs w:val="24"/>
        </w:rPr>
        <w:t xml:space="preserve">(PD) </w:t>
      </w:r>
      <w:r w:rsidRPr="00D14373">
        <w:rPr>
          <w:rFonts w:ascii="Times New Roman" w:hAnsi="Times New Roman"/>
          <w:szCs w:val="24"/>
        </w:rPr>
        <w:t xml:space="preserve">in </w:t>
      </w:r>
      <w:r>
        <w:rPr>
          <w:rFonts w:ascii="Times New Roman" w:hAnsi="Times New Roman"/>
          <w:szCs w:val="24"/>
        </w:rPr>
        <w:t xml:space="preserve">an </w:t>
      </w:r>
      <w:r w:rsidRPr="00D14373">
        <w:rPr>
          <w:rFonts w:ascii="Times New Roman" w:hAnsi="Times New Roman"/>
          <w:szCs w:val="24"/>
        </w:rPr>
        <w:t xml:space="preserve">inquiry-based science </w:t>
      </w:r>
      <w:r>
        <w:rPr>
          <w:rFonts w:ascii="Times New Roman" w:hAnsi="Times New Roman"/>
          <w:szCs w:val="24"/>
        </w:rPr>
        <w:t xml:space="preserve">approach during the summer 2010. The teachers implemented the first inquiry-based science kit in their classrooms during the fall 2010 semester and the second kit during the spring 2011 semester. The change between pretest and posttest levels of proficiency is analyzed to determine the extent to which teacher understanding increased following </w:t>
      </w:r>
      <w:r w:rsidR="00C50C63">
        <w:rPr>
          <w:rFonts w:ascii="Times New Roman" w:hAnsi="Times New Roman"/>
          <w:szCs w:val="24"/>
        </w:rPr>
        <w:t>PD</w:t>
      </w:r>
      <w:r>
        <w:rPr>
          <w:rFonts w:ascii="Times New Roman" w:hAnsi="Times New Roman"/>
          <w:szCs w:val="24"/>
        </w:rPr>
        <w:t xml:space="preserve"> and whether student understanding increased following their engagement in activities and instruction with the specific inquiry-based science kit.</w:t>
      </w:r>
      <w:r w:rsidRPr="00891819">
        <w:rPr>
          <w:rFonts w:ascii="Times New Roman" w:hAnsi="Times New Roman"/>
          <w:szCs w:val="24"/>
        </w:rPr>
        <w:t xml:space="preserve"> </w:t>
      </w:r>
      <w:r w:rsidR="00CF1CEB">
        <w:rPr>
          <w:rFonts w:ascii="Times New Roman" w:hAnsi="Times New Roman"/>
          <w:szCs w:val="24"/>
        </w:rPr>
        <w:t>The evaluation tea</w:t>
      </w:r>
      <w:r w:rsidR="006D0000">
        <w:rPr>
          <w:rFonts w:ascii="Times New Roman" w:hAnsi="Times New Roman"/>
          <w:szCs w:val="24"/>
        </w:rPr>
        <w:t>m</w:t>
      </w:r>
      <w:r w:rsidR="00CF1CEB">
        <w:rPr>
          <w:rFonts w:ascii="Times New Roman" w:hAnsi="Times New Roman"/>
          <w:szCs w:val="24"/>
        </w:rPr>
        <w:t xml:space="preserve"> learned a range of lessons </w:t>
      </w:r>
      <w:r w:rsidRPr="00891819">
        <w:rPr>
          <w:rFonts w:ascii="Times New Roman" w:hAnsi="Times New Roman"/>
          <w:szCs w:val="24"/>
        </w:rPr>
        <w:t>over the past year</w:t>
      </w:r>
      <w:r w:rsidR="00CF1CEB">
        <w:rPr>
          <w:rFonts w:ascii="Times New Roman" w:hAnsi="Times New Roman"/>
          <w:szCs w:val="24"/>
        </w:rPr>
        <w:t>,</w:t>
      </w:r>
      <w:r w:rsidRPr="00891819">
        <w:rPr>
          <w:rFonts w:ascii="Times New Roman" w:hAnsi="Times New Roman"/>
          <w:szCs w:val="24"/>
        </w:rPr>
        <w:t xml:space="preserve"> which will be discussed along with</w:t>
      </w:r>
      <w:r w:rsidR="00CF1CEB">
        <w:rPr>
          <w:rFonts w:ascii="Times New Roman" w:hAnsi="Times New Roman"/>
          <w:szCs w:val="24"/>
        </w:rPr>
        <w:t xml:space="preserve"> the</w:t>
      </w:r>
      <w:r w:rsidRPr="00891819">
        <w:rPr>
          <w:rFonts w:ascii="Times New Roman" w:hAnsi="Times New Roman"/>
          <w:szCs w:val="24"/>
        </w:rPr>
        <w:t xml:space="preserve"> major findings of this evaluation. </w:t>
      </w:r>
    </w:p>
    <w:p w:rsidR="00401DA1" w:rsidRDefault="006A3D6E" w:rsidP="00891819">
      <w:pPr>
        <w:rPr>
          <w:rFonts w:ascii="Times New Roman" w:hAnsi="Times New Roman"/>
          <w:b/>
          <w:szCs w:val="24"/>
        </w:rPr>
      </w:pPr>
      <w:r>
        <w:rPr>
          <w:rFonts w:ascii="Times New Roman" w:hAnsi="Times New Roman"/>
          <w:b/>
          <w:szCs w:val="24"/>
        </w:rPr>
        <w:t>Inquiry science project overview</w:t>
      </w:r>
    </w:p>
    <w:p w:rsidR="00401DA1" w:rsidRPr="00E74664" w:rsidRDefault="00401DA1" w:rsidP="00401DA1">
      <w:pPr>
        <w:ind w:firstLine="720"/>
        <w:jc w:val="both"/>
        <w:rPr>
          <w:rFonts w:ascii="Times New Roman" w:hAnsi="Times New Roman"/>
          <w:szCs w:val="24"/>
        </w:rPr>
      </w:pPr>
      <w:r w:rsidRPr="00E74664">
        <w:rPr>
          <w:rFonts w:ascii="Times New Roman" w:hAnsi="Times New Roman"/>
          <w:szCs w:val="24"/>
        </w:rPr>
        <w:t xml:space="preserve">The goal </w:t>
      </w:r>
      <w:r>
        <w:rPr>
          <w:rFonts w:ascii="Times New Roman" w:hAnsi="Times New Roman"/>
          <w:szCs w:val="24"/>
        </w:rPr>
        <w:t>of the project wa</w:t>
      </w:r>
      <w:r w:rsidRPr="00E74664">
        <w:rPr>
          <w:rFonts w:ascii="Times New Roman" w:hAnsi="Times New Roman"/>
          <w:szCs w:val="24"/>
        </w:rPr>
        <w:t>s to improve student learning and to close achievement gaps in science for high-need students by strengthening teacher understanding and quality of instruction in the classrooms. The following research-based instructional materials were provided to participating teachers and schools: 1) Full Option Science System (FOSS) program materials, which were designed to provide meaningful science education for all students in diverse American classrooms and to prepare them for life in the 21st century,</w:t>
      </w:r>
      <w:r w:rsidRPr="00E74664">
        <w:rPr>
          <w:rFonts w:ascii="Times New Roman" w:hAnsi="Times New Roman"/>
          <w:szCs w:val="24"/>
          <w:vertAlign w:val="superscript"/>
        </w:rPr>
        <w:footnoteReference w:id="1"/>
      </w:r>
      <w:r w:rsidRPr="00E74664">
        <w:rPr>
          <w:rFonts w:ascii="Times New Roman" w:hAnsi="Times New Roman"/>
          <w:szCs w:val="24"/>
        </w:rPr>
        <w:t xml:space="preserve"> and 2) Science and Technology for Children (STC)</w:t>
      </w:r>
      <w:r>
        <w:rPr>
          <w:rFonts w:ascii="Times New Roman" w:hAnsi="Times New Roman"/>
          <w:szCs w:val="24"/>
        </w:rPr>
        <w:t xml:space="preserve"> supplemented with the new</w:t>
      </w:r>
      <w:r w:rsidRPr="00E74664">
        <w:rPr>
          <w:rFonts w:ascii="Times New Roman" w:hAnsi="Times New Roman"/>
          <w:szCs w:val="24"/>
        </w:rPr>
        <w:t xml:space="preserve"> BOOKS™ </w:t>
      </w:r>
      <w:r>
        <w:rPr>
          <w:rFonts w:ascii="Times New Roman" w:hAnsi="Times New Roman"/>
          <w:szCs w:val="24"/>
        </w:rPr>
        <w:t xml:space="preserve">materials </w:t>
      </w:r>
      <w:r w:rsidRPr="00E74664">
        <w:rPr>
          <w:rFonts w:ascii="Times New Roman" w:hAnsi="Times New Roman"/>
          <w:szCs w:val="24"/>
        </w:rPr>
        <w:t>developed by the National Science Resource Center (NSRC).</w:t>
      </w:r>
      <w:r w:rsidRPr="00E74664">
        <w:rPr>
          <w:rFonts w:ascii="Times New Roman" w:hAnsi="Times New Roman"/>
          <w:szCs w:val="24"/>
          <w:vertAlign w:val="superscript"/>
        </w:rPr>
        <w:footnoteReference w:id="2"/>
      </w:r>
      <w:r w:rsidRPr="00E74664">
        <w:rPr>
          <w:rFonts w:ascii="Times New Roman" w:hAnsi="Times New Roman"/>
          <w:szCs w:val="24"/>
        </w:rPr>
        <w:t xml:space="preserve"> </w:t>
      </w:r>
      <w:r>
        <w:rPr>
          <w:rFonts w:ascii="Times New Roman" w:hAnsi="Times New Roman"/>
          <w:szCs w:val="24"/>
        </w:rPr>
        <w:t>This current project</w:t>
      </w:r>
      <w:r w:rsidRPr="00E74664">
        <w:rPr>
          <w:rFonts w:ascii="Times New Roman" w:hAnsi="Times New Roman"/>
          <w:szCs w:val="24"/>
        </w:rPr>
        <w:t xml:space="preserve"> provided the FOSS and STC science materials to each teacher </w:t>
      </w:r>
      <w:r>
        <w:rPr>
          <w:rFonts w:ascii="Times New Roman" w:hAnsi="Times New Roman"/>
          <w:szCs w:val="24"/>
        </w:rPr>
        <w:t>for use in their classroom following PD</w:t>
      </w:r>
      <w:r w:rsidRPr="00E74664">
        <w:rPr>
          <w:rFonts w:ascii="Times New Roman" w:hAnsi="Times New Roman"/>
          <w:szCs w:val="24"/>
        </w:rPr>
        <w:t xml:space="preserve">. </w:t>
      </w:r>
    </w:p>
    <w:p w:rsidR="006A3D6E" w:rsidRDefault="00401DA1" w:rsidP="00401DA1">
      <w:pPr>
        <w:ind w:firstLine="720"/>
        <w:jc w:val="both"/>
        <w:rPr>
          <w:rFonts w:ascii="Times New Roman" w:hAnsi="Times New Roman"/>
          <w:szCs w:val="24"/>
        </w:rPr>
      </w:pPr>
      <w:r>
        <w:rPr>
          <w:rFonts w:ascii="Times New Roman" w:hAnsi="Times New Roman"/>
          <w:szCs w:val="24"/>
        </w:rPr>
        <w:t>Teachers received one week of</w:t>
      </w:r>
      <w:r w:rsidRPr="00E74664">
        <w:rPr>
          <w:rFonts w:ascii="Times New Roman" w:hAnsi="Times New Roman"/>
          <w:szCs w:val="24"/>
        </w:rPr>
        <w:t xml:space="preserve"> </w:t>
      </w:r>
      <w:r w:rsidR="00C50C63">
        <w:rPr>
          <w:rFonts w:ascii="Times New Roman" w:hAnsi="Times New Roman"/>
          <w:szCs w:val="24"/>
        </w:rPr>
        <w:t>PD</w:t>
      </w:r>
      <w:r w:rsidRPr="00E74664">
        <w:rPr>
          <w:rFonts w:ascii="Times New Roman" w:hAnsi="Times New Roman"/>
          <w:szCs w:val="24"/>
        </w:rPr>
        <w:t xml:space="preserve"> in August 2010, just prior to the beginning of the school year. </w:t>
      </w:r>
      <w:r>
        <w:rPr>
          <w:rFonts w:ascii="Times New Roman" w:hAnsi="Times New Roman"/>
          <w:szCs w:val="24"/>
        </w:rPr>
        <w:t xml:space="preserve">Teachers new to the school during the year were provided opportunities to attend a shortened PD in September 2010 and January 2011. </w:t>
      </w:r>
      <w:r w:rsidRPr="00E74664">
        <w:rPr>
          <w:rFonts w:ascii="Times New Roman" w:hAnsi="Times New Roman"/>
          <w:szCs w:val="24"/>
        </w:rPr>
        <w:t>Th</w:t>
      </w:r>
      <w:r>
        <w:rPr>
          <w:rFonts w:ascii="Times New Roman" w:hAnsi="Times New Roman"/>
          <w:szCs w:val="24"/>
        </w:rPr>
        <w:t>e</w:t>
      </w:r>
      <w:r w:rsidRPr="00E74664">
        <w:rPr>
          <w:rFonts w:ascii="Times New Roman" w:hAnsi="Times New Roman"/>
          <w:szCs w:val="24"/>
        </w:rPr>
        <w:t xml:space="preserve"> </w:t>
      </w:r>
      <w:r w:rsidR="00C50C63">
        <w:rPr>
          <w:rFonts w:ascii="Times New Roman" w:hAnsi="Times New Roman"/>
          <w:szCs w:val="24"/>
        </w:rPr>
        <w:t>PD</w:t>
      </w:r>
      <w:r w:rsidRPr="00E74664">
        <w:rPr>
          <w:rFonts w:ascii="Times New Roman" w:hAnsi="Times New Roman"/>
          <w:szCs w:val="24"/>
        </w:rPr>
        <w:t xml:space="preserve"> addressed how to deliver effective instruction to students </w:t>
      </w:r>
      <w:r w:rsidRPr="00E74664">
        <w:rPr>
          <w:rFonts w:ascii="Times New Roman" w:hAnsi="Times New Roman"/>
          <w:szCs w:val="24"/>
        </w:rPr>
        <w:lastRenderedPageBreak/>
        <w:t xml:space="preserve">using two FOSS or STC modules appropriate for the teacher's assigned grade. The project </w:t>
      </w:r>
      <w:r>
        <w:rPr>
          <w:rFonts w:ascii="Times New Roman" w:hAnsi="Times New Roman"/>
          <w:szCs w:val="24"/>
        </w:rPr>
        <w:t>is implemented across all grades K–6; h</w:t>
      </w:r>
      <w:r w:rsidRPr="00E74664">
        <w:rPr>
          <w:rFonts w:ascii="Times New Roman" w:hAnsi="Times New Roman"/>
          <w:szCs w:val="24"/>
        </w:rPr>
        <w:t>owever</w:t>
      </w:r>
      <w:r w:rsidR="00C50C63">
        <w:rPr>
          <w:rFonts w:ascii="Times New Roman" w:hAnsi="Times New Roman"/>
          <w:szCs w:val="24"/>
        </w:rPr>
        <w:t>,</w:t>
      </w:r>
      <w:r w:rsidRPr="00E74664">
        <w:rPr>
          <w:rFonts w:ascii="Times New Roman" w:hAnsi="Times New Roman"/>
          <w:szCs w:val="24"/>
        </w:rPr>
        <w:t xml:space="preserve"> </w:t>
      </w:r>
      <w:r>
        <w:rPr>
          <w:rFonts w:ascii="Times New Roman" w:hAnsi="Times New Roman"/>
          <w:szCs w:val="24"/>
        </w:rPr>
        <w:t>data is only collected for teachers and students in grades 3</w:t>
      </w:r>
      <w:r w:rsidR="00C50C63">
        <w:rPr>
          <w:rFonts w:ascii="Times New Roman" w:hAnsi="Times New Roman" w:cs="Times New Roman"/>
          <w:szCs w:val="24"/>
        </w:rPr>
        <w:t>–</w:t>
      </w:r>
      <w:r>
        <w:rPr>
          <w:rFonts w:ascii="Times New Roman" w:hAnsi="Times New Roman"/>
          <w:szCs w:val="24"/>
        </w:rPr>
        <w:t>6. The assessment data</w:t>
      </w:r>
      <w:r w:rsidRPr="00E74664">
        <w:rPr>
          <w:rFonts w:ascii="Times New Roman" w:hAnsi="Times New Roman"/>
          <w:szCs w:val="24"/>
        </w:rPr>
        <w:t xml:space="preserve"> is </w:t>
      </w:r>
      <w:r>
        <w:rPr>
          <w:rFonts w:ascii="Times New Roman" w:hAnsi="Times New Roman"/>
          <w:szCs w:val="24"/>
        </w:rPr>
        <w:t>collected from</w:t>
      </w:r>
      <w:r w:rsidRPr="00E74664">
        <w:rPr>
          <w:rFonts w:ascii="Times New Roman" w:hAnsi="Times New Roman"/>
          <w:szCs w:val="24"/>
        </w:rPr>
        <w:t xml:space="preserve"> aligned assessments developed by either the FOSS or STC publishers, which are only available for grades 3–6</w:t>
      </w:r>
      <w:r>
        <w:rPr>
          <w:rFonts w:ascii="Times New Roman" w:hAnsi="Times New Roman"/>
          <w:szCs w:val="24"/>
        </w:rPr>
        <w:t xml:space="preserve">. </w:t>
      </w:r>
      <w:r w:rsidRPr="00E74664">
        <w:rPr>
          <w:rFonts w:ascii="Times New Roman" w:hAnsi="Times New Roman"/>
          <w:szCs w:val="24"/>
        </w:rPr>
        <w:t xml:space="preserve">These assessments are intended for students, but were administered to teachers to assess changes in teacher understanding </w:t>
      </w:r>
      <w:r>
        <w:rPr>
          <w:rFonts w:ascii="Times New Roman" w:hAnsi="Times New Roman"/>
          <w:szCs w:val="24"/>
        </w:rPr>
        <w:t>before and after PD and administered to students before and after exposure to the inquiry-based science kit instruction.</w:t>
      </w:r>
    </w:p>
    <w:p w:rsidR="00161B69" w:rsidRDefault="00161B69" w:rsidP="00161B69">
      <w:pPr>
        <w:jc w:val="both"/>
        <w:rPr>
          <w:rFonts w:ascii="Times New Roman" w:hAnsi="Times New Roman"/>
          <w:b/>
          <w:szCs w:val="24"/>
        </w:rPr>
      </w:pPr>
      <w:r>
        <w:rPr>
          <w:rFonts w:ascii="Times New Roman" w:hAnsi="Times New Roman"/>
          <w:b/>
          <w:szCs w:val="24"/>
        </w:rPr>
        <w:t>Lessons learned from year 1 evaluation of an inquiry-based science kit program</w:t>
      </w:r>
    </w:p>
    <w:p w:rsidR="00161B69" w:rsidRDefault="00161B69" w:rsidP="00161B69">
      <w:pPr>
        <w:jc w:val="both"/>
        <w:rPr>
          <w:rFonts w:ascii="Times New Roman" w:hAnsi="Times New Roman"/>
          <w:szCs w:val="24"/>
        </w:rPr>
      </w:pPr>
      <w:r>
        <w:rPr>
          <w:rFonts w:ascii="Times New Roman" w:hAnsi="Times New Roman"/>
          <w:szCs w:val="24"/>
        </w:rPr>
        <w:tab/>
        <w:t>In this paper we provide a description of some important lessons we learned as evaluators related to issues and how the</w:t>
      </w:r>
      <w:r w:rsidR="006D0000">
        <w:rPr>
          <w:rFonts w:ascii="Times New Roman" w:hAnsi="Times New Roman"/>
          <w:szCs w:val="24"/>
        </w:rPr>
        <w:t>y were solved as well as suggestions</w:t>
      </w:r>
      <w:r>
        <w:rPr>
          <w:rFonts w:ascii="Times New Roman" w:hAnsi="Times New Roman"/>
          <w:szCs w:val="24"/>
        </w:rPr>
        <w:t xml:space="preserve"> to improve the project in subsequent years. The following lessons learned will be described:</w:t>
      </w:r>
    </w:p>
    <w:p w:rsidR="00161B69" w:rsidRDefault="00161B69" w:rsidP="00161B69">
      <w:pPr>
        <w:pStyle w:val="ListParagraph"/>
        <w:numPr>
          <w:ilvl w:val="0"/>
          <w:numId w:val="2"/>
        </w:numPr>
        <w:jc w:val="both"/>
        <w:rPr>
          <w:rFonts w:ascii="Times New Roman" w:hAnsi="Times New Roman"/>
          <w:szCs w:val="24"/>
        </w:rPr>
      </w:pPr>
      <w:r>
        <w:rPr>
          <w:rFonts w:ascii="Times New Roman" w:hAnsi="Times New Roman"/>
          <w:szCs w:val="24"/>
        </w:rPr>
        <w:t>Ensuring quality data for informative analysis</w:t>
      </w:r>
    </w:p>
    <w:p w:rsidR="00161B69" w:rsidRDefault="00161B69" w:rsidP="00161B69">
      <w:pPr>
        <w:pStyle w:val="ListParagraph"/>
        <w:numPr>
          <w:ilvl w:val="0"/>
          <w:numId w:val="2"/>
        </w:numPr>
        <w:jc w:val="both"/>
        <w:rPr>
          <w:rFonts w:ascii="Times New Roman" w:hAnsi="Times New Roman"/>
          <w:szCs w:val="24"/>
        </w:rPr>
      </w:pPr>
      <w:r>
        <w:rPr>
          <w:rFonts w:ascii="Times New Roman" w:hAnsi="Times New Roman"/>
          <w:szCs w:val="24"/>
        </w:rPr>
        <w:t>Problem-solving data collection issues</w:t>
      </w:r>
    </w:p>
    <w:p w:rsidR="00161B69" w:rsidRPr="00161B69" w:rsidRDefault="00161B69" w:rsidP="00161B69">
      <w:pPr>
        <w:pStyle w:val="ListParagraph"/>
        <w:numPr>
          <w:ilvl w:val="0"/>
          <w:numId w:val="2"/>
        </w:numPr>
        <w:rPr>
          <w:rFonts w:ascii="Times New Roman" w:hAnsi="Times New Roman"/>
          <w:szCs w:val="24"/>
        </w:rPr>
      </w:pPr>
      <w:r w:rsidRPr="00161B69">
        <w:rPr>
          <w:rFonts w:ascii="Times New Roman" w:hAnsi="Times New Roman"/>
          <w:szCs w:val="24"/>
        </w:rPr>
        <w:t>Presenting findings that are of utility for program improvement</w:t>
      </w:r>
    </w:p>
    <w:p w:rsidR="00161B69" w:rsidRPr="00161B69" w:rsidRDefault="00161B69" w:rsidP="00161B69">
      <w:pPr>
        <w:pStyle w:val="ListParagraph"/>
        <w:numPr>
          <w:ilvl w:val="0"/>
          <w:numId w:val="2"/>
        </w:numPr>
        <w:rPr>
          <w:rFonts w:ascii="Times New Roman" w:hAnsi="Times New Roman"/>
          <w:szCs w:val="24"/>
        </w:rPr>
      </w:pPr>
      <w:r>
        <w:rPr>
          <w:rFonts w:ascii="Times New Roman" w:hAnsi="Times New Roman"/>
          <w:szCs w:val="24"/>
        </w:rPr>
        <w:t>Documenting implementation issues to improve research in subsequent years</w:t>
      </w:r>
    </w:p>
    <w:p w:rsidR="00161B69" w:rsidRPr="00161B69" w:rsidRDefault="00161B69" w:rsidP="00161B69">
      <w:pPr>
        <w:pStyle w:val="ListParagraph"/>
        <w:numPr>
          <w:ilvl w:val="0"/>
          <w:numId w:val="2"/>
        </w:numPr>
        <w:rPr>
          <w:rFonts w:ascii="Times New Roman" w:hAnsi="Times New Roman"/>
          <w:szCs w:val="24"/>
        </w:rPr>
      </w:pPr>
      <w:r w:rsidRPr="00161B69">
        <w:rPr>
          <w:rFonts w:ascii="Times New Roman" w:hAnsi="Times New Roman"/>
          <w:szCs w:val="24"/>
        </w:rPr>
        <w:t>Improving on-time delivery of work through project management</w:t>
      </w:r>
    </w:p>
    <w:p w:rsidR="00401DA1" w:rsidRDefault="0030374E" w:rsidP="00891819">
      <w:pPr>
        <w:rPr>
          <w:rFonts w:ascii="Times New Roman" w:hAnsi="Times New Roman"/>
          <w:b/>
          <w:szCs w:val="24"/>
        </w:rPr>
      </w:pPr>
      <w:r>
        <w:rPr>
          <w:rFonts w:ascii="Times New Roman" w:hAnsi="Times New Roman"/>
          <w:b/>
          <w:szCs w:val="24"/>
        </w:rPr>
        <w:t xml:space="preserve">Ensuring quality data </w:t>
      </w:r>
      <w:r w:rsidR="006A3D6E">
        <w:rPr>
          <w:rFonts w:ascii="Times New Roman" w:hAnsi="Times New Roman"/>
          <w:b/>
          <w:szCs w:val="24"/>
        </w:rPr>
        <w:t>for informative analysis</w:t>
      </w:r>
    </w:p>
    <w:p w:rsidR="006D0000" w:rsidRDefault="006D0000" w:rsidP="006D0000">
      <w:pPr>
        <w:rPr>
          <w:rFonts w:ascii="Times New Roman" w:hAnsi="Times New Roman" w:cs="Times New Roman"/>
          <w:sz w:val="24"/>
          <w:szCs w:val="24"/>
        </w:rPr>
      </w:pPr>
      <w:r>
        <w:rPr>
          <w:rFonts w:ascii="Times New Roman" w:hAnsi="Times New Roman" w:cs="Times New Roman"/>
          <w:sz w:val="24"/>
          <w:szCs w:val="24"/>
        </w:rPr>
        <w:tab/>
        <w:t>There were two kinds of inquiry science kits: FOSS and STC. One provided only multiple choice items and the other provided some open-ended items that were scored using a rubric. Students were given 1 point, just for marking any response and zero points only if they did not respond. This scoring rubric made understanding change in student understanding from pretest to posttest challenging, because a student who marked any response would be rated higher than a student who chose not to respond at all. For the first semester of the year, as evaluators we were only provided the final total performance score for each kit for each student using this scoring system. For example, if a student took an assessment that had 20 items, and for each item they could earn up to 3 points, then the total possible points would be 60. We were provided with a data file that gave the total points each student received. If student X received 50 points, then their performance as a percent was 83 percent (50/60).</w:t>
      </w:r>
    </w:p>
    <w:p w:rsidR="006D0000" w:rsidRDefault="006D0000" w:rsidP="0030374E">
      <w:pPr>
        <w:ind w:firstLine="720"/>
        <w:jc w:val="both"/>
        <w:rPr>
          <w:rFonts w:ascii="Times New Roman" w:hAnsi="Times New Roman" w:cs="Times New Roman"/>
          <w:sz w:val="24"/>
          <w:szCs w:val="24"/>
        </w:rPr>
      </w:pPr>
      <w:r>
        <w:rPr>
          <w:rFonts w:ascii="Times New Roman" w:hAnsi="Times New Roman" w:cs="Times New Roman"/>
          <w:sz w:val="24"/>
          <w:szCs w:val="24"/>
        </w:rPr>
        <w:t>There were unusual patterns between pretest and posttest student performance in the data with students losing ground on some of the assessments, perhaps due to leaving responses blank instead of guessing. We requested item level data to better understand these issues. The project lead petitioned the board for additional funds to hire a temporary staff person to enter the item level data for analysis. The funding was approved and the item level data was made available. We re-ran all the analyses, correcting the final performance scores by subtracting one point for all items where students were awarded a point for guessing. This also provided more informative results for the item analysis in terms of the effect size of improvement by item to guide future instruction.</w:t>
      </w:r>
    </w:p>
    <w:p w:rsidR="006D0000" w:rsidRDefault="0030374E" w:rsidP="0030374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student data file frequently was provided with errors, with students receiving ratings higher than the allowable rating, with teacher IDs that were not on the original teacher ID list, and other data anomalies. Time was spent to document these issues</w:t>
      </w:r>
      <w:r w:rsidR="00C50C63">
        <w:rPr>
          <w:rFonts w:ascii="Times New Roman" w:hAnsi="Times New Roman" w:cs="Times New Roman"/>
          <w:sz w:val="24"/>
          <w:szCs w:val="24"/>
        </w:rPr>
        <w:t xml:space="preserve"> and</w:t>
      </w:r>
      <w:r>
        <w:rPr>
          <w:rFonts w:ascii="Times New Roman" w:hAnsi="Times New Roman" w:cs="Times New Roman"/>
          <w:sz w:val="24"/>
          <w:szCs w:val="24"/>
        </w:rPr>
        <w:t xml:space="preserve"> discuss them with the project leader to </w:t>
      </w:r>
      <w:r w:rsidR="006D0000">
        <w:rPr>
          <w:rFonts w:ascii="Times New Roman" w:hAnsi="Times New Roman" w:cs="Times New Roman"/>
          <w:sz w:val="24"/>
          <w:szCs w:val="24"/>
        </w:rPr>
        <w:t>come to a resolution</w:t>
      </w:r>
      <w:r>
        <w:rPr>
          <w:rFonts w:ascii="Times New Roman" w:hAnsi="Times New Roman" w:cs="Times New Roman"/>
          <w:sz w:val="24"/>
          <w:szCs w:val="24"/>
        </w:rPr>
        <w:t xml:space="preserve"> and ensure the data was accurate for analysis. The project leader was responsive to e-mails with questions about the data, typically responding within 24 hours to either upload a new data file with accurate data or to provide information about specific students or teachers to allow the correction of the data. </w:t>
      </w:r>
      <w:r w:rsidR="00CE1864">
        <w:rPr>
          <w:rFonts w:ascii="Times New Roman" w:hAnsi="Times New Roman" w:cs="Times New Roman"/>
          <w:sz w:val="24"/>
          <w:szCs w:val="24"/>
        </w:rPr>
        <w:t xml:space="preserve">If care had not been taken to review the data when it </w:t>
      </w:r>
      <w:r w:rsidR="00C50C63">
        <w:rPr>
          <w:rFonts w:ascii="Times New Roman" w:hAnsi="Times New Roman" w:cs="Times New Roman"/>
          <w:sz w:val="24"/>
          <w:szCs w:val="24"/>
        </w:rPr>
        <w:t>arrived</w:t>
      </w:r>
      <w:r w:rsidR="00CE1864">
        <w:rPr>
          <w:rFonts w:ascii="Times New Roman" w:hAnsi="Times New Roman" w:cs="Times New Roman"/>
          <w:sz w:val="24"/>
          <w:szCs w:val="24"/>
        </w:rPr>
        <w:t>, the results would not have been accurate due to the significant amount of data issues.</w:t>
      </w:r>
    </w:p>
    <w:p w:rsidR="005134D8" w:rsidRPr="006D0000" w:rsidRDefault="00401DA1" w:rsidP="00891819">
      <w:pPr>
        <w:rPr>
          <w:rFonts w:ascii="Times New Roman" w:hAnsi="Times New Roman"/>
          <w:b/>
          <w:szCs w:val="24"/>
        </w:rPr>
      </w:pPr>
      <w:r>
        <w:rPr>
          <w:rFonts w:ascii="Times New Roman" w:hAnsi="Times New Roman"/>
          <w:b/>
          <w:szCs w:val="24"/>
        </w:rPr>
        <w:t>Problem-solving data collection issues</w:t>
      </w:r>
    </w:p>
    <w:p w:rsidR="006D0000" w:rsidRPr="00940E70" w:rsidRDefault="006D0000" w:rsidP="006D0000">
      <w:pPr>
        <w:ind w:firstLine="720"/>
        <w:jc w:val="both"/>
        <w:rPr>
          <w:rFonts w:ascii="Times New Roman" w:hAnsi="Times New Roman" w:cs="Times New Roman"/>
          <w:sz w:val="24"/>
          <w:szCs w:val="24"/>
        </w:rPr>
      </w:pPr>
      <w:r w:rsidRPr="00B811C3">
        <w:rPr>
          <w:rFonts w:ascii="Times New Roman" w:hAnsi="Times New Roman" w:cs="Times New Roman"/>
          <w:sz w:val="24"/>
          <w:szCs w:val="24"/>
        </w:rPr>
        <w:t xml:space="preserve">The </w:t>
      </w:r>
      <w:r>
        <w:rPr>
          <w:rFonts w:ascii="Times New Roman" w:hAnsi="Times New Roman" w:cs="Times New Roman"/>
          <w:sz w:val="24"/>
          <w:szCs w:val="24"/>
        </w:rPr>
        <w:t>o</w:t>
      </w:r>
      <w:r w:rsidRPr="00B811C3">
        <w:rPr>
          <w:rFonts w:ascii="Times New Roman" w:hAnsi="Times New Roman" w:cs="Times New Roman"/>
          <w:sz w:val="24"/>
          <w:szCs w:val="24"/>
        </w:rPr>
        <w:t xml:space="preserve">bservation </w:t>
      </w:r>
      <w:r>
        <w:rPr>
          <w:rFonts w:ascii="Times New Roman" w:hAnsi="Times New Roman" w:cs="Times New Roman"/>
          <w:sz w:val="24"/>
          <w:szCs w:val="24"/>
        </w:rPr>
        <w:t>protocol</w:t>
      </w:r>
      <w:r w:rsidRPr="00B811C3">
        <w:rPr>
          <w:rFonts w:ascii="Times New Roman" w:hAnsi="Times New Roman" w:cs="Times New Roman"/>
          <w:sz w:val="24"/>
          <w:szCs w:val="24"/>
        </w:rPr>
        <w:t xml:space="preserve"> </w:t>
      </w:r>
      <w:r>
        <w:rPr>
          <w:rFonts w:ascii="Times New Roman" w:hAnsi="Times New Roman" w:cs="Times New Roman"/>
          <w:sz w:val="24"/>
          <w:szCs w:val="24"/>
        </w:rPr>
        <w:t xml:space="preserve">used by the project for classroom observations </w:t>
      </w:r>
      <w:r w:rsidRPr="00B811C3">
        <w:rPr>
          <w:rFonts w:ascii="Times New Roman" w:hAnsi="Times New Roman" w:cs="Times New Roman"/>
          <w:sz w:val="24"/>
          <w:szCs w:val="24"/>
        </w:rPr>
        <w:t xml:space="preserve">is comprised of </w:t>
      </w:r>
      <w:r>
        <w:rPr>
          <w:rFonts w:ascii="Times New Roman" w:hAnsi="Times New Roman" w:cs="Times New Roman"/>
          <w:sz w:val="24"/>
          <w:szCs w:val="24"/>
        </w:rPr>
        <w:t>statements that are each given a rating</w:t>
      </w:r>
      <w:r w:rsidRPr="00B811C3">
        <w:rPr>
          <w:rFonts w:ascii="Times New Roman" w:hAnsi="Times New Roman" w:cs="Times New Roman"/>
          <w:sz w:val="24"/>
          <w:szCs w:val="24"/>
        </w:rPr>
        <w:t>, ranging from 1 to 5. However, if a behavior described within one of the items did not occur during the observation, the observers were directed to leave the rating blank</w:t>
      </w:r>
      <w:r>
        <w:rPr>
          <w:rFonts w:ascii="Times New Roman" w:hAnsi="Times New Roman" w:cs="Times New Roman"/>
          <w:sz w:val="24"/>
          <w:szCs w:val="24"/>
        </w:rPr>
        <w:t xml:space="preserve"> during year 1 observations</w:t>
      </w:r>
      <w:r w:rsidRPr="00B811C3">
        <w:rPr>
          <w:rFonts w:ascii="Times New Roman" w:hAnsi="Times New Roman" w:cs="Times New Roman"/>
          <w:sz w:val="24"/>
          <w:szCs w:val="24"/>
        </w:rPr>
        <w:t>. Blank ratings result in missing data and complicate</w:t>
      </w:r>
      <w:r>
        <w:rPr>
          <w:rFonts w:ascii="Times New Roman" w:hAnsi="Times New Roman" w:cs="Times New Roman"/>
          <w:sz w:val="24"/>
          <w:szCs w:val="24"/>
        </w:rPr>
        <w:t>d</w:t>
      </w:r>
      <w:r w:rsidRPr="00B811C3">
        <w:rPr>
          <w:rFonts w:ascii="Times New Roman" w:hAnsi="Times New Roman" w:cs="Times New Roman"/>
          <w:sz w:val="24"/>
          <w:szCs w:val="24"/>
        </w:rPr>
        <w:t xml:space="preserve"> or skew</w:t>
      </w:r>
      <w:r>
        <w:rPr>
          <w:rFonts w:ascii="Times New Roman" w:hAnsi="Times New Roman" w:cs="Times New Roman"/>
          <w:sz w:val="24"/>
          <w:szCs w:val="24"/>
        </w:rPr>
        <w:t>ed</w:t>
      </w:r>
      <w:r w:rsidRPr="00B811C3">
        <w:rPr>
          <w:rFonts w:ascii="Times New Roman" w:hAnsi="Times New Roman" w:cs="Times New Roman"/>
          <w:sz w:val="24"/>
          <w:szCs w:val="24"/>
        </w:rPr>
        <w:t xml:space="preserve"> the results of the data analyses. It </w:t>
      </w:r>
      <w:r>
        <w:rPr>
          <w:rFonts w:ascii="Times New Roman" w:hAnsi="Times New Roman" w:cs="Times New Roman"/>
          <w:sz w:val="24"/>
          <w:szCs w:val="24"/>
        </w:rPr>
        <w:t xml:space="preserve">made it impossible to </w:t>
      </w:r>
      <w:r w:rsidRPr="00B811C3">
        <w:rPr>
          <w:rFonts w:ascii="Times New Roman" w:hAnsi="Times New Roman" w:cs="Times New Roman"/>
          <w:sz w:val="24"/>
          <w:szCs w:val="24"/>
        </w:rPr>
        <w:t xml:space="preserve">look at low, medium, and high implementers, or to determine if implementation </w:t>
      </w:r>
      <w:r>
        <w:rPr>
          <w:rFonts w:ascii="Times New Roman" w:hAnsi="Times New Roman" w:cs="Times New Roman"/>
          <w:sz w:val="24"/>
          <w:szCs w:val="24"/>
        </w:rPr>
        <w:t xml:space="preserve">was </w:t>
      </w:r>
      <w:r w:rsidRPr="00B811C3">
        <w:rPr>
          <w:rFonts w:ascii="Times New Roman" w:hAnsi="Times New Roman" w:cs="Times New Roman"/>
          <w:sz w:val="24"/>
          <w:szCs w:val="24"/>
        </w:rPr>
        <w:t>associated with other data gathered on teachers or students</w:t>
      </w:r>
      <w:r>
        <w:rPr>
          <w:rFonts w:ascii="Times New Roman" w:hAnsi="Times New Roman" w:cs="Times New Roman"/>
          <w:sz w:val="24"/>
          <w:szCs w:val="24"/>
        </w:rPr>
        <w:t xml:space="preserve"> as was proposed for the evaluation</w:t>
      </w:r>
      <w:r w:rsidRPr="00B811C3">
        <w:rPr>
          <w:rFonts w:ascii="Times New Roman" w:hAnsi="Times New Roman" w:cs="Times New Roman"/>
          <w:sz w:val="24"/>
          <w:szCs w:val="24"/>
        </w:rPr>
        <w:t>.</w:t>
      </w:r>
      <w:r>
        <w:rPr>
          <w:rFonts w:ascii="Times New Roman" w:hAnsi="Times New Roman" w:cs="Times New Roman"/>
          <w:sz w:val="24"/>
          <w:szCs w:val="24"/>
        </w:rPr>
        <w:t xml:space="preserve"> For subsequent years of the study, we recommended that a set of items be selected to document teacher and student behaviors that are expected to occur for any lesson. For these items, a rating would be required.</w:t>
      </w:r>
      <w:r w:rsidRPr="00B811C3">
        <w:rPr>
          <w:rFonts w:ascii="Times New Roman" w:hAnsi="Times New Roman" w:cs="Times New Roman"/>
          <w:sz w:val="24"/>
          <w:szCs w:val="24"/>
        </w:rPr>
        <w:t xml:space="preserve"> </w:t>
      </w:r>
      <w:r>
        <w:rPr>
          <w:rFonts w:ascii="Times New Roman" w:hAnsi="Times New Roman" w:cs="Times New Roman"/>
          <w:sz w:val="24"/>
          <w:szCs w:val="24"/>
        </w:rPr>
        <w:t>We</w:t>
      </w:r>
      <w:r w:rsidRPr="008A31D8">
        <w:rPr>
          <w:rFonts w:ascii="Times New Roman" w:hAnsi="Times New Roman" w:cs="Times New Roman"/>
          <w:sz w:val="24"/>
          <w:szCs w:val="24"/>
        </w:rPr>
        <w:t xml:space="preserve"> also recommended that </w:t>
      </w:r>
      <w:r>
        <w:rPr>
          <w:rFonts w:ascii="Times New Roman" w:hAnsi="Times New Roman" w:cs="Times New Roman"/>
          <w:sz w:val="24"/>
          <w:szCs w:val="24"/>
        </w:rPr>
        <w:t>subsequent years of the project</w:t>
      </w:r>
      <w:r w:rsidRPr="008A31D8">
        <w:rPr>
          <w:rFonts w:ascii="Times New Roman" w:hAnsi="Times New Roman" w:cs="Times New Roman"/>
          <w:sz w:val="24"/>
          <w:szCs w:val="24"/>
        </w:rPr>
        <w:t xml:space="preserve"> </w:t>
      </w:r>
      <w:r>
        <w:rPr>
          <w:rFonts w:ascii="Times New Roman" w:hAnsi="Times New Roman" w:cs="Times New Roman"/>
          <w:sz w:val="24"/>
          <w:szCs w:val="24"/>
        </w:rPr>
        <w:t>include the determination of</w:t>
      </w:r>
      <w:r w:rsidRPr="008A31D8">
        <w:rPr>
          <w:rFonts w:ascii="Times New Roman" w:hAnsi="Times New Roman" w:cs="Times New Roman"/>
          <w:sz w:val="24"/>
          <w:szCs w:val="24"/>
        </w:rPr>
        <w:t xml:space="preserve"> an acceptable benchmark </w:t>
      </w:r>
      <w:r>
        <w:rPr>
          <w:rFonts w:ascii="Times New Roman" w:hAnsi="Times New Roman" w:cs="Times New Roman"/>
          <w:sz w:val="24"/>
          <w:szCs w:val="24"/>
        </w:rPr>
        <w:t>(score)</w:t>
      </w:r>
      <w:r w:rsidRPr="008A31D8">
        <w:rPr>
          <w:rFonts w:ascii="Times New Roman" w:hAnsi="Times New Roman" w:cs="Times New Roman"/>
          <w:sz w:val="24"/>
          <w:szCs w:val="24"/>
        </w:rPr>
        <w:t xml:space="preserve"> that would represent high versus low fidelity of implementation. </w:t>
      </w:r>
      <w:r w:rsidRPr="0069407A">
        <w:rPr>
          <w:rFonts w:ascii="Times New Roman" w:hAnsi="Times New Roman" w:cs="Times New Roman"/>
          <w:sz w:val="24"/>
          <w:szCs w:val="24"/>
        </w:rPr>
        <w:t xml:space="preserve">Fidelity of implementation is </w:t>
      </w:r>
      <w:r>
        <w:rPr>
          <w:rFonts w:ascii="Times New Roman" w:hAnsi="Times New Roman" w:cs="Times New Roman"/>
          <w:sz w:val="24"/>
          <w:szCs w:val="24"/>
        </w:rPr>
        <w:t xml:space="preserve">important as it may provide information </w:t>
      </w:r>
      <w:r w:rsidRPr="0069407A">
        <w:rPr>
          <w:rFonts w:ascii="Times New Roman" w:hAnsi="Times New Roman" w:cs="Times New Roman"/>
          <w:sz w:val="24"/>
          <w:szCs w:val="24"/>
        </w:rPr>
        <w:t xml:space="preserve">to explain student achievement findings and variability in student achievement across and within schools. </w:t>
      </w:r>
      <w:r>
        <w:rPr>
          <w:rFonts w:ascii="Times New Roman" w:hAnsi="Times New Roman" w:cs="Times New Roman"/>
          <w:sz w:val="24"/>
          <w:szCs w:val="24"/>
        </w:rPr>
        <w:tab/>
      </w:r>
    </w:p>
    <w:p w:rsidR="00AD2816" w:rsidRDefault="00940E70" w:rsidP="00AD2816">
      <w:pPr>
        <w:rPr>
          <w:rFonts w:ascii="Times New Roman" w:hAnsi="Times New Roman" w:cs="Times New Roman"/>
          <w:sz w:val="24"/>
          <w:szCs w:val="24"/>
        </w:rPr>
      </w:pPr>
      <w:r>
        <w:rPr>
          <w:rFonts w:ascii="Times New Roman" w:hAnsi="Times New Roman"/>
          <w:sz w:val="24"/>
          <w:szCs w:val="24"/>
        </w:rPr>
        <w:tab/>
      </w:r>
      <w:r w:rsidR="00AD2816" w:rsidRPr="00C2451B">
        <w:rPr>
          <w:rFonts w:ascii="Times New Roman" w:hAnsi="Times New Roman"/>
          <w:sz w:val="24"/>
          <w:szCs w:val="24"/>
        </w:rPr>
        <w:t xml:space="preserve">A state data request was submitted to the </w:t>
      </w:r>
      <w:r w:rsidR="00FD5992">
        <w:rPr>
          <w:rFonts w:ascii="Times New Roman" w:hAnsi="Times New Roman"/>
          <w:sz w:val="24"/>
          <w:szCs w:val="24"/>
        </w:rPr>
        <w:t xml:space="preserve">State </w:t>
      </w:r>
      <w:r w:rsidR="00AD2816">
        <w:rPr>
          <w:rFonts w:ascii="Times New Roman" w:hAnsi="Times New Roman"/>
          <w:sz w:val="24"/>
          <w:szCs w:val="24"/>
        </w:rPr>
        <w:t xml:space="preserve">Education Department at the start of the evaluation </w:t>
      </w:r>
      <w:r w:rsidR="00AD2816" w:rsidRPr="00C2451B">
        <w:rPr>
          <w:rFonts w:ascii="Times New Roman" w:hAnsi="Times New Roman"/>
          <w:sz w:val="24"/>
          <w:szCs w:val="24"/>
        </w:rPr>
        <w:t xml:space="preserve">requesting student achievement data for </w:t>
      </w:r>
      <w:r w:rsidR="00FD5992">
        <w:rPr>
          <w:rFonts w:ascii="Times New Roman" w:hAnsi="Times New Roman"/>
          <w:sz w:val="24"/>
          <w:szCs w:val="24"/>
        </w:rPr>
        <w:t xml:space="preserve">all </w:t>
      </w:r>
      <w:r w:rsidR="00AD2816" w:rsidRPr="00C2451B">
        <w:rPr>
          <w:rFonts w:ascii="Times New Roman" w:hAnsi="Times New Roman"/>
          <w:sz w:val="24"/>
          <w:szCs w:val="24"/>
        </w:rPr>
        <w:t>students in grade</w:t>
      </w:r>
      <w:r w:rsidR="00AD2816">
        <w:rPr>
          <w:rFonts w:ascii="Times New Roman" w:hAnsi="Times New Roman"/>
          <w:sz w:val="24"/>
          <w:szCs w:val="24"/>
        </w:rPr>
        <w:t xml:space="preserve"> 3</w:t>
      </w:r>
      <w:r w:rsidR="00AD2816" w:rsidRPr="00C2451B">
        <w:rPr>
          <w:rFonts w:ascii="Times New Roman" w:hAnsi="Times New Roman"/>
          <w:sz w:val="24"/>
          <w:szCs w:val="24"/>
        </w:rPr>
        <w:t xml:space="preserve"> (2009</w:t>
      </w:r>
      <w:r w:rsidR="00AD2816">
        <w:rPr>
          <w:rFonts w:ascii="Times New Roman" w:hAnsi="Times New Roman"/>
          <w:sz w:val="24"/>
          <w:szCs w:val="24"/>
        </w:rPr>
        <w:t>/</w:t>
      </w:r>
      <w:r w:rsidR="00AD2816" w:rsidRPr="00C2451B">
        <w:rPr>
          <w:rFonts w:ascii="Times New Roman" w:hAnsi="Times New Roman"/>
          <w:sz w:val="24"/>
          <w:szCs w:val="24"/>
        </w:rPr>
        <w:t>10) and grade</w:t>
      </w:r>
      <w:r w:rsidR="00AD2816">
        <w:rPr>
          <w:rFonts w:ascii="Times New Roman" w:hAnsi="Times New Roman"/>
          <w:sz w:val="24"/>
          <w:szCs w:val="24"/>
        </w:rPr>
        <w:t xml:space="preserve"> 4</w:t>
      </w:r>
      <w:r w:rsidR="00AD2816" w:rsidRPr="00C2451B">
        <w:rPr>
          <w:rFonts w:ascii="Times New Roman" w:hAnsi="Times New Roman"/>
          <w:sz w:val="24"/>
          <w:szCs w:val="24"/>
        </w:rPr>
        <w:t xml:space="preserve"> (2010</w:t>
      </w:r>
      <w:r w:rsidR="00AD2816">
        <w:rPr>
          <w:rFonts w:ascii="Times New Roman" w:hAnsi="Times New Roman"/>
          <w:sz w:val="24"/>
          <w:szCs w:val="24"/>
        </w:rPr>
        <w:t>/</w:t>
      </w:r>
      <w:r w:rsidR="00AD2816" w:rsidRPr="00C2451B">
        <w:rPr>
          <w:rFonts w:ascii="Times New Roman" w:hAnsi="Times New Roman"/>
          <w:sz w:val="24"/>
          <w:szCs w:val="24"/>
        </w:rPr>
        <w:t>11)</w:t>
      </w:r>
      <w:r w:rsidR="00FD5992">
        <w:rPr>
          <w:rFonts w:ascii="Times New Roman" w:hAnsi="Times New Roman"/>
          <w:sz w:val="24"/>
          <w:szCs w:val="24"/>
        </w:rPr>
        <w:t xml:space="preserve"> in the state</w:t>
      </w:r>
      <w:r w:rsidR="00AD2816" w:rsidRPr="00C2451B">
        <w:rPr>
          <w:rFonts w:ascii="Times New Roman" w:hAnsi="Times New Roman"/>
          <w:sz w:val="24"/>
          <w:szCs w:val="24"/>
        </w:rPr>
        <w:t xml:space="preserve">. The purpose of this data request was to create a comparison group of students similar in demographics and achievement to the students participating in the </w:t>
      </w:r>
      <w:r w:rsidR="00AD2816">
        <w:rPr>
          <w:rFonts w:ascii="Times New Roman" w:hAnsi="Times New Roman"/>
          <w:sz w:val="24"/>
          <w:szCs w:val="24"/>
        </w:rPr>
        <w:t>program</w:t>
      </w:r>
      <w:r w:rsidR="00AD2816" w:rsidRPr="00C2451B">
        <w:rPr>
          <w:rFonts w:ascii="Times New Roman" w:hAnsi="Times New Roman"/>
          <w:sz w:val="24"/>
          <w:szCs w:val="24"/>
        </w:rPr>
        <w:t xml:space="preserve"> through propensity score matching. It was anticipated that this requested data could be used </w:t>
      </w:r>
      <w:r w:rsidR="00AD2816">
        <w:rPr>
          <w:rFonts w:ascii="Times New Roman" w:hAnsi="Times New Roman"/>
          <w:sz w:val="24"/>
          <w:szCs w:val="24"/>
        </w:rPr>
        <w:t>in the</w:t>
      </w:r>
      <w:r w:rsidR="00AD2816" w:rsidRPr="00C2451B">
        <w:rPr>
          <w:rFonts w:ascii="Times New Roman" w:hAnsi="Times New Roman"/>
          <w:sz w:val="24"/>
          <w:szCs w:val="24"/>
        </w:rPr>
        <w:t xml:space="preserve"> evaluation of the effect of the </w:t>
      </w:r>
      <w:r w:rsidR="00AD2816">
        <w:rPr>
          <w:rFonts w:ascii="Times New Roman" w:hAnsi="Times New Roman"/>
          <w:sz w:val="24"/>
          <w:szCs w:val="24"/>
        </w:rPr>
        <w:t>inquiry-science program</w:t>
      </w:r>
      <w:r w:rsidR="00AD2816" w:rsidRPr="00C2451B">
        <w:rPr>
          <w:rFonts w:ascii="Times New Roman" w:hAnsi="Times New Roman"/>
          <w:sz w:val="24"/>
          <w:szCs w:val="24"/>
        </w:rPr>
        <w:t xml:space="preserve"> on student achievement. This data request was denied in March 2011 due to changes in state administration and the data management system.</w:t>
      </w:r>
      <w:r w:rsidR="00AD2816">
        <w:rPr>
          <w:rFonts w:ascii="Times New Roman" w:hAnsi="Times New Roman"/>
          <w:sz w:val="24"/>
          <w:szCs w:val="24"/>
        </w:rPr>
        <w:t xml:space="preserve"> </w:t>
      </w:r>
      <w:r w:rsidR="00AD2816" w:rsidRPr="00372C6D">
        <w:rPr>
          <w:rFonts w:ascii="Times New Roman" w:hAnsi="Times New Roman"/>
          <w:sz w:val="24"/>
          <w:szCs w:val="24"/>
        </w:rPr>
        <w:t xml:space="preserve">Therefore, </w:t>
      </w:r>
      <w:r w:rsidR="00AD2816">
        <w:rPr>
          <w:rFonts w:ascii="Times New Roman" w:hAnsi="Times New Roman"/>
          <w:sz w:val="24"/>
          <w:szCs w:val="24"/>
        </w:rPr>
        <w:t>the</w:t>
      </w:r>
      <w:r w:rsidR="00AD2816" w:rsidRPr="00372C6D">
        <w:rPr>
          <w:rFonts w:ascii="Times New Roman" w:hAnsi="Times New Roman"/>
          <w:sz w:val="24"/>
          <w:szCs w:val="24"/>
        </w:rPr>
        <w:t xml:space="preserve"> project leaders obtained data from schools in participating districts who were not implementing the FOSS and STC kits and one additional district to be used for the propensity score match</w:t>
      </w:r>
      <w:r w:rsidR="00C50C63">
        <w:rPr>
          <w:rFonts w:ascii="Times New Roman" w:hAnsi="Times New Roman"/>
          <w:sz w:val="24"/>
          <w:szCs w:val="24"/>
        </w:rPr>
        <w:t>ing</w:t>
      </w:r>
      <w:r w:rsidR="00AD2816" w:rsidRPr="00372C6D">
        <w:rPr>
          <w:rFonts w:ascii="Times New Roman" w:hAnsi="Times New Roman"/>
          <w:sz w:val="24"/>
          <w:szCs w:val="24"/>
        </w:rPr>
        <w:t>. This was the best alternative, given the lack of availability of state data.</w:t>
      </w:r>
      <w:r w:rsidR="00AD2816">
        <w:rPr>
          <w:rFonts w:ascii="Times New Roman" w:hAnsi="Times New Roman"/>
          <w:sz w:val="24"/>
          <w:szCs w:val="24"/>
        </w:rPr>
        <w:t xml:space="preserve"> </w:t>
      </w:r>
    </w:p>
    <w:p w:rsidR="00891819" w:rsidRDefault="00401DA1" w:rsidP="00891819">
      <w:pPr>
        <w:rPr>
          <w:rFonts w:ascii="Times New Roman" w:hAnsi="Times New Roman"/>
          <w:b/>
          <w:szCs w:val="24"/>
        </w:rPr>
      </w:pPr>
      <w:r>
        <w:rPr>
          <w:rFonts w:ascii="Times New Roman" w:hAnsi="Times New Roman"/>
          <w:b/>
          <w:szCs w:val="24"/>
        </w:rPr>
        <w:t>Presenting findings that are of utility for program improvement</w:t>
      </w:r>
    </w:p>
    <w:p w:rsidR="00C17244" w:rsidRPr="00C17244" w:rsidRDefault="00C17244" w:rsidP="00891819">
      <w:pPr>
        <w:rPr>
          <w:rFonts w:ascii="Times New Roman" w:hAnsi="Times New Roman"/>
          <w:szCs w:val="24"/>
        </w:rPr>
      </w:pPr>
      <w:r>
        <w:rPr>
          <w:rFonts w:ascii="Times New Roman" w:hAnsi="Times New Roman"/>
          <w:szCs w:val="24"/>
        </w:rPr>
        <w:tab/>
        <w:t xml:space="preserve">Presenting findings in tables with significance levels was not informative for program improvement. Neither were typical graphs to describe pretest and posttest differences (as shown in the figure that follows). </w:t>
      </w:r>
    </w:p>
    <w:p w:rsidR="009232D1" w:rsidRPr="009232D1" w:rsidRDefault="009232D1" w:rsidP="009232D1">
      <w:pPr>
        <w:pStyle w:val="NoSpacing"/>
        <w:ind w:left="180"/>
        <w:jc w:val="both"/>
        <w:rPr>
          <w:rFonts w:ascii="Times New Roman" w:hAnsi="Times New Roman" w:cs="Times New Roman"/>
          <w:sz w:val="18"/>
          <w:szCs w:val="20"/>
        </w:rPr>
      </w:pPr>
    </w:p>
    <w:p w:rsidR="00F323C4" w:rsidRPr="008C7329" w:rsidRDefault="00F323C4" w:rsidP="00C17244">
      <w:pPr>
        <w:pStyle w:val="Style1"/>
      </w:pPr>
      <w:bookmarkStart w:id="0" w:name="_Toc298170078"/>
      <w:bookmarkStart w:id="1" w:name="_Toc302661658"/>
      <w:proofErr w:type="gramStart"/>
      <w:r w:rsidRPr="008C7329">
        <w:t>Figure</w:t>
      </w:r>
      <w:r w:rsidR="006D0000">
        <w:t xml:space="preserve"> 1</w:t>
      </w:r>
      <w:r w:rsidRPr="008C7329">
        <w:t>.</w:t>
      </w:r>
      <w:proofErr w:type="gramEnd"/>
      <w:r w:rsidRPr="008C7329">
        <w:t xml:space="preserve"> Distribution of student performance (percent) at pretest and posttest, spring 2011</w:t>
      </w:r>
      <w:bookmarkEnd w:id="0"/>
      <w:bookmarkEnd w:id="1"/>
    </w:p>
    <w:p w:rsidR="00F323C4" w:rsidRDefault="00F323C4" w:rsidP="00F323C4">
      <w:pPr>
        <w:contextualSpacing/>
        <w:rPr>
          <w:rStyle w:val="Instruction1"/>
          <w:rFonts w:ascii="Times New Roman" w:hAnsi="Times New Roman"/>
          <w:bCs/>
          <w:color w:val="000000"/>
          <w:sz w:val="24"/>
        </w:rPr>
      </w:pPr>
      <w:r w:rsidRPr="00A414E4">
        <w:rPr>
          <w:rStyle w:val="Instruction1"/>
          <w:rFonts w:ascii="Times New Roman" w:hAnsi="Times New Roman"/>
          <w:b/>
          <w:bCs/>
          <w:color w:val="000000"/>
          <w:sz w:val="24"/>
          <w:szCs w:val="24"/>
        </w:rPr>
        <w:t xml:space="preserve"> </w:t>
      </w:r>
      <w:r>
        <w:rPr>
          <w:rFonts w:ascii="Times New Roman" w:hAnsi="Times New Roman"/>
          <w:bCs/>
          <w:noProof/>
          <w:color w:val="000000"/>
          <w:sz w:val="24"/>
        </w:rPr>
        <w:drawing>
          <wp:inline distT="0" distB="0" distL="0" distR="0">
            <wp:extent cx="2428875" cy="2556980"/>
            <wp:effectExtent l="19050" t="0" r="9525" b="0"/>
            <wp:docPr id="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r="24038"/>
                    <a:stretch>
                      <a:fillRect/>
                    </a:stretch>
                  </pic:blipFill>
                  <pic:spPr bwMode="auto">
                    <a:xfrm>
                      <a:off x="0" y="0"/>
                      <a:ext cx="2431260" cy="2559491"/>
                    </a:xfrm>
                    <a:prstGeom prst="rect">
                      <a:avLst/>
                    </a:prstGeom>
                    <a:noFill/>
                    <a:ln w="9525">
                      <a:noFill/>
                      <a:miter lim="800000"/>
                      <a:headEnd/>
                      <a:tailEnd/>
                    </a:ln>
                  </pic:spPr>
                </pic:pic>
              </a:graphicData>
            </a:graphic>
          </wp:inline>
        </w:drawing>
      </w:r>
      <w:r w:rsidRPr="009A6DC3">
        <w:rPr>
          <w:rStyle w:val="Instruction1"/>
          <w:rFonts w:ascii="Times New Roman" w:hAnsi="Times New Roman"/>
          <w:bCs/>
          <w:color w:val="000000"/>
          <w:sz w:val="24"/>
        </w:rPr>
        <w:t xml:space="preserve"> </w:t>
      </w:r>
      <w:r>
        <w:rPr>
          <w:rFonts w:ascii="Times New Roman" w:hAnsi="Times New Roman"/>
          <w:bCs/>
          <w:noProof/>
          <w:color w:val="000000"/>
          <w:sz w:val="24"/>
        </w:rPr>
        <w:drawing>
          <wp:inline distT="0" distB="0" distL="0" distR="0">
            <wp:extent cx="2428875" cy="2546237"/>
            <wp:effectExtent l="19050" t="0" r="9525" b="0"/>
            <wp:docPr id="4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r="23718"/>
                    <a:stretch>
                      <a:fillRect/>
                    </a:stretch>
                  </pic:blipFill>
                  <pic:spPr bwMode="auto">
                    <a:xfrm>
                      <a:off x="0" y="0"/>
                      <a:ext cx="2437572" cy="2555354"/>
                    </a:xfrm>
                    <a:prstGeom prst="rect">
                      <a:avLst/>
                    </a:prstGeom>
                    <a:noFill/>
                    <a:ln w="9525">
                      <a:noFill/>
                      <a:miter lim="800000"/>
                      <a:headEnd/>
                      <a:tailEnd/>
                    </a:ln>
                  </pic:spPr>
                </pic:pic>
              </a:graphicData>
            </a:graphic>
          </wp:inline>
        </w:drawing>
      </w:r>
    </w:p>
    <w:p w:rsidR="00F323C4" w:rsidRDefault="00F323C4" w:rsidP="00F323C4">
      <w:pPr>
        <w:contextualSpacing/>
        <w:rPr>
          <w:rStyle w:val="Instruction1"/>
          <w:rFonts w:ascii="Times New Roman" w:hAnsi="Times New Roman"/>
          <w:bCs/>
          <w:color w:val="000000"/>
          <w:sz w:val="24"/>
        </w:rPr>
      </w:pPr>
    </w:p>
    <w:p w:rsidR="009B69BA" w:rsidRDefault="00C17244" w:rsidP="00F323C4">
      <w:pPr>
        <w:ind w:firstLine="720"/>
        <w:jc w:val="both"/>
        <w:rPr>
          <w:rFonts w:ascii="Times New Roman" w:hAnsi="Times New Roman"/>
          <w:sz w:val="24"/>
          <w:szCs w:val="24"/>
        </w:rPr>
      </w:pPr>
      <w:r>
        <w:rPr>
          <w:rFonts w:ascii="Times New Roman" w:hAnsi="Times New Roman"/>
          <w:sz w:val="24"/>
          <w:szCs w:val="24"/>
        </w:rPr>
        <w:t>The</w:t>
      </w:r>
      <w:r w:rsidR="00F323C4">
        <w:rPr>
          <w:rFonts w:ascii="Times New Roman" w:hAnsi="Times New Roman"/>
          <w:sz w:val="24"/>
          <w:szCs w:val="24"/>
        </w:rPr>
        <w:t xml:space="preserve"> client provided feedback that the main users of these reports were not as interested tests of statistical significance (p-value, effect size), or all of the graphical displays. </w:t>
      </w:r>
      <w:r w:rsidR="00B8110D">
        <w:rPr>
          <w:rFonts w:ascii="Times New Roman" w:hAnsi="Times New Roman"/>
          <w:sz w:val="24"/>
          <w:szCs w:val="24"/>
        </w:rPr>
        <w:t>Although t</w:t>
      </w:r>
      <w:r w:rsidR="00F323C4">
        <w:rPr>
          <w:rFonts w:ascii="Times New Roman" w:hAnsi="Times New Roman"/>
          <w:sz w:val="24"/>
          <w:szCs w:val="24"/>
        </w:rPr>
        <w:t>he</w:t>
      </w:r>
      <w:r w:rsidR="00B8110D">
        <w:rPr>
          <w:rFonts w:ascii="Times New Roman" w:hAnsi="Times New Roman"/>
          <w:sz w:val="24"/>
          <w:szCs w:val="24"/>
        </w:rPr>
        <w:t xml:space="preserve"> users</w:t>
      </w:r>
      <w:r w:rsidR="00F323C4">
        <w:rPr>
          <w:rFonts w:ascii="Times New Roman" w:hAnsi="Times New Roman"/>
          <w:sz w:val="24"/>
          <w:szCs w:val="24"/>
        </w:rPr>
        <w:t xml:space="preserve"> were very pleased by the progress the students had made</w:t>
      </w:r>
      <w:r w:rsidR="00B8110D">
        <w:rPr>
          <w:rFonts w:ascii="Times New Roman" w:hAnsi="Times New Roman"/>
          <w:sz w:val="24"/>
          <w:szCs w:val="24"/>
        </w:rPr>
        <w:t xml:space="preserve">, </w:t>
      </w:r>
      <w:r w:rsidR="00F323C4">
        <w:rPr>
          <w:rFonts w:ascii="Times New Roman" w:hAnsi="Times New Roman"/>
          <w:sz w:val="24"/>
          <w:szCs w:val="24"/>
        </w:rPr>
        <w:t xml:space="preserve">they wanted something more to guide support for teachers and inform improvements to the program the following year. We brainstormed ways to provide item level information that could be used by the </w:t>
      </w:r>
      <w:r w:rsidR="00FD5992">
        <w:rPr>
          <w:rFonts w:ascii="Times New Roman" w:hAnsi="Times New Roman"/>
          <w:sz w:val="24"/>
          <w:szCs w:val="24"/>
        </w:rPr>
        <w:t>science coaches</w:t>
      </w:r>
      <w:r w:rsidR="00E85F67">
        <w:rPr>
          <w:rFonts w:ascii="Times New Roman" w:hAnsi="Times New Roman"/>
          <w:sz w:val="24"/>
          <w:szCs w:val="24"/>
        </w:rPr>
        <w:t xml:space="preserve"> </w:t>
      </w:r>
      <w:r w:rsidR="00F323C4">
        <w:rPr>
          <w:rFonts w:ascii="Times New Roman" w:hAnsi="Times New Roman"/>
          <w:sz w:val="24"/>
          <w:szCs w:val="24"/>
        </w:rPr>
        <w:t xml:space="preserve">to understand strengths and weaknesses in teacher and student understanding to direct their support. </w:t>
      </w:r>
    </w:p>
    <w:p w:rsidR="00401DA1" w:rsidRDefault="00AD0881" w:rsidP="00401DA1">
      <w:pPr>
        <w:ind w:firstLine="720"/>
        <w:rPr>
          <w:rFonts w:ascii="Times New Roman" w:hAnsi="Times New Roman" w:cs="Times New Roman"/>
          <w:sz w:val="24"/>
          <w:szCs w:val="24"/>
        </w:rPr>
      </w:pPr>
      <w:r>
        <w:rPr>
          <w:rFonts w:ascii="Times New Roman" w:hAnsi="Times New Roman" w:cs="Times New Roman"/>
          <w:noProof/>
          <w:sz w:val="24"/>
          <w:szCs w:val="24"/>
          <w:lang w:bidi="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213.7pt;margin-top:31.3pt;width:13.2pt;height:13.2pt;z-index:251660288"/>
        </w:pict>
      </w:r>
      <w:r w:rsidR="00E85F67">
        <w:rPr>
          <w:rFonts w:ascii="Times New Roman" w:hAnsi="Times New Roman" w:cs="Times New Roman"/>
          <w:sz w:val="24"/>
          <w:szCs w:val="24"/>
        </w:rPr>
        <w:t xml:space="preserve">What we ended up with was an </w:t>
      </w:r>
      <w:r w:rsidR="00401DA1" w:rsidRPr="006B2339">
        <w:rPr>
          <w:rFonts w:ascii="Times New Roman" w:hAnsi="Times New Roman" w:cs="Times New Roman"/>
          <w:i/>
          <w:sz w:val="24"/>
          <w:szCs w:val="24"/>
        </w:rPr>
        <w:t>Item response analysis</w:t>
      </w:r>
      <w:r w:rsidR="00401DA1">
        <w:rPr>
          <w:rFonts w:ascii="Times New Roman" w:hAnsi="Times New Roman" w:cs="Times New Roman"/>
          <w:sz w:val="24"/>
          <w:szCs w:val="24"/>
        </w:rPr>
        <w:t>,</w:t>
      </w:r>
      <w:r w:rsidR="00E85F67">
        <w:rPr>
          <w:rFonts w:ascii="Times New Roman" w:hAnsi="Times New Roman" w:cs="Times New Roman"/>
          <w:sz w:val="24"/>
          <w:szCs w:val="24"/>
        </w:rPr>
        <w:t xml:space="preserve"> where the results of the item analysis were provided directly on the assessment. </w:t>
      </w:r>
      <w:r w:rsidR="00B8110D">
        <w:rPr>
          <w:rFonts w:ascii="Times New Roman" w:hAnsi="Times New Roman" w:cs="Times New Roman"/>
          <w:sz w:val="24"/>
          <w:szCs w:val="24"/>
        </w:rPr>
        <w:t>I</w:t>
      </w:r>
      <w:r w:rsidR="00401DA1">
        <w:rPr>
          <w:rFonts w:ascii="Times New Roman" w:hAnsi="Times New Roman" w:cs="Times New Roman"/>
          <w:sz w:val="24"/>
          <w:szCs w:val="24"/>
        </w:rPr>
        <w:t>tems with a</w:t>
      </w:r>
      <w:r w:rsidR="00401DA1" w:rsidRPr="00276F9B">
        <w:rPr>
          <w:rFonts w:ascii="Times New Roman" w:hAnsi="Times New Roman" w:cs="Times New Roman"/>
          <w:sz w:val="24"/>
          <w:szCs w:val="24"/>
        </w:rPr>
        <w:t xml:space="preserve"> small effect </w:t>
      </w:r>
      <w:r w:rsidR="00401DA1">
        <w:rPr>
          <w:rFonts w:ascii="Times New Roman" w:hAnsi="Times New Roman" w:cs="Times New Roman"/>
          <w:sz w:val="24"/>
          <w:szCs w:val="24"/>
        </w:rPr>
        <w:t xml:space="preserve">on the item performance analysis </w:t>
      </w:r>
      <w:r w:rsidR="00E85F67">
        <w:rPr>
          <w:rFonts w:ascii="Times New Roman" w:hAnsi="Times New Roman" w:cs="Times New Roman"/>
          <w:sz w:val="24"/>
          <w:szCs w:val="24"/>
        </w:rPr>
        <w:t>were</w:t>
      </w:r>
      <w:r w:rsidR="00401DA1">
        <w:rPr>
          <w:rFonts w:ascii="Times New Roman" w:hAnsi="Times New Roman" w:cs="Times New Roman"/>
          <w:sz w:val="24"/>
          <w:szCs w:val="24"/>
        </w:rPr>
        <w:t xml:space="preserve"> </w:t>
      </w:r>
      <w:r w:rsidR="00401DA1" w:rsidRPr="00276F9B">
        <w:rPr>
          <w:rFonts w:ascii="Times New Roman" w:hAnsi="Times New Roman" w:cs="Times New Roman"/>
          <w:sz w:val="24"/>
          <w:szCs w:val="24"/>
        </w:rPr>
        <w:t xml:space="preserve">identified with a </w:t>
      </w:r>
      <w:r w:rsidR="00401DA1">
        <w:rPr>
          <w:rFonts w:ascii="Times New Roman" w:hAnsi="Times New Roman" w:cs="Times New Roman"/>
          <w:sz w:val="24"/>
          <w:szCs w:val="24"/>
        </w:rPr>
        <w:t xml:space="preserve">    </w:t>
      </w:r>
      <w:r w:rsidR="00401DA1" w:rsidRPr="00276F9B">
        <w:rPr>
          <w:rFonts w:ascii="Times New Roman" w:hAnsi="Times New Roman" w:cs="Times New Roman"/>
          <w:sz w:val="24"/>
          <w:szCs w:val="24"/>
        </w:rPr>
        <w:t xml:space="preserve"> symbol.</w:t>
      </w:r>
      <w:r w:rsidR="00401DA1">
        <w:rPr>
          <w:rFonts w:ascii="Times New Roman" w:hAnsi="Times New Roman" w:cs="Times New Roman"/>
          <w:sz w:val="24"/>
          <w:szCs w:val="24"/>
        </w:rPr>
        <w:t xml:space="preserve"> </w:t>
      </w:r>
      <w:r w:rsidR="00401DA1" w:rsidRPr="00276F9B">
        <w:rPr>
          <w:rFonts w:ascii="Times New Roman" w:hAnsi="Times New Roman" w:cs="Times New Roman"/>
          <w:sz w:val="24"/>
          <w:szCs w:val="24"/>
        </w:rPr>
        <w:t xml:space="preserve">These items represent areas of need for additional instruction to improve </w:t>
      </w:r>
      <w:r w:rsidR="00401DA1">
        <w:rPr>
          <w:rFonts w:ascii="Times New Roman" w:hAnsi="Times New Roman" w:cs="Times New Roman"/>
          <w:sz w:val="24"/>
          <w:szCs w:val="24"/>
        </w:rPr>
        <w:t xml:space="preserve">student </w:t>
      </w:r>
      <w:r w:rsidR="00401DA1" w:rsidRPr="00276F9B">
        <w:rPr>
          <w:rFonts w:ascii="Times New Roman" w:hAnsi="Times New Roman" w:cs="Times New Roman"/>
          <w:sz w:val="24"/>
          <w:szCs w:val="24"/>
        </w:rPr>
        <w:t>understanding.</w:t>
      </w:r>
      <w:r w:rsidR="00E85F67">
        <w:rPr>
          <w:rFonts w:ascii="Times New Roman" w:hAnsi="Times New Roman" w:cs="Times New Roman"/>
          <w:sz w:val="24"/>
          <w:szCs w:val="24"/>
        </w:rPr>
        <w:t xml:space="preserve"> What follows is an example of this type of information provided to inform the work of the </w:t>
      </w:r>
      <w:r w:rsidR="00FD5992">
        <w:rPr>
          <w:rFonts w:ascii="Times New Roman" w:hAnsi="Times New Roman" w:cs="Times New Roman"/>
          <w:sz w:val="24"/>
          <w:szCs w:val="24"/>
        </w:rPr>
        <w:t>science coaches</w:t>
      </w:r>
      <w:r w:rsidR="00E85F67">
        <w:rPr>
          <w:rFonts w:ascii="Times New Roman" w:hAnsi="Times New Roman" w:cs="Times New Roman"/>
          <w:sz w:val="24"/>
          <w:szCs w:val="24"/>
        </w:rPr>
        <w:t xml:space="preserve"> </w:t>
      </w:r>
    </w:p>
    <w:p w:rsidR="00401DA1" w:rsidRDefault="00401DA1" w:rsidP="00401DA1">
      <w:pPr>
        <w:ind w:firstLine="720"/>
        <w:rPr>
          <w:rFonts w:ascii="Times New Roman" w:hAnsi="Times New Roman" w:cs="Times New Roman"/>
          <w:sz w:val="24"/>
          <w:szCs w:val="24"/>
        </w:rPr>
      </w:pPr>
    </w:p>
    <w:p w:rsidR="00401DA1" w:rsidRDefault="00AD0881" w:rsidP="00401DA1">
      <w:pPr>
        <w:ind w:left="720" w:firstLine="720"/>
        <w:rPr>
          <w:rFonts w:ascii="Times New Roman" w:hAnsi="Times New Roman" w:cs="Times New Roman"/>
          <w:sz w:val="24"/>
          <w:szCs w:val="24"/>
        </w:rPr>
      </w:pPr>
      <w:r>
        <w:rPr>
          <w:rFonts w:ascii="Times New Roman" w:hAnsi="Times New Roman" w:cs="Times New Roman"/>
          <w:noProof/>
          <w:sz w:val="24"/>
          <w:szCs w:val="24"/>
          <w:lang w:bidi="en-US"/>
        </w:rPr>
        <w:pict>
          <v:group id="_x0000_s1030" style="position:absolute;left:0;text-align:left;margin-left:21.05pt;margin-top:17.2pt;width:48.2pt;height:39.4pt;z-index:251662336" coordorigin="4592,6876" coordsize="964,788">
            <v:shape id="_x0000_s1031" type="#_x0000_t12" style="position:absolute;left:4592;top:6876;width:964;height:760" fillcolor="yellow"/>
            <v:shapetype id="_x0000_t202" coordsize="21600,21600" o:spt="202" path="m,l,21600r21600,l21600,xe">
              <v:stroke joinstyle="miter"/>
              <v:path gradientshapeok="t" o:connecttype="rect"/>
            </v:shapetype>
            <v:shape id="_x0000_s1032" type="#_x0000_t202" style="position:absolute;left:4872;top:7037;width:479;height:627" filled="f" stroked="f">
              <v:textbox style="mso-next-textbox:#_x0000_s1032">
                <w:txbxContent>
                  <w:p w:rsidR="00B8110D" w:rsidRPr="00667B6E" w:rsidRDefault="00B8110D" w:rsidP="00401DA1">
                    <w:pPr>
                      <w:rPr>
                        <w:b/>
                        <w:sz w:val="30"/>
                        <w:szCs w:val="30"/>
                      </w:rPr>
                    </w:pPr>
                    <w:r>
                      <w:rPr>
                        <w:b/>
                        <w:sz w:val="30"/>
                        <w:szCs w:val="30"/>
                      </w:rPr>
                      <w:t>T</w:t>
                    </w:r>
                  </w:p>
                </w:txbxContent>
              </v:textbox>
            </v:shape>
          </v:group>
        </w:pict>
      </w:r>
      <w:r>
        <w:rPr>
          <w:rFonts w:ascii="Times New Roman" w:hAnsi="Times New Roman" w:cs="Times New Roman"/>
          <w:noProof/>
          <w:sz w:val="24"/>
          <w:szCs w:val="24"/>
          <w:lang w:bidi="en-US"/>
        </w:rPr>
        <w:pict>
          <v:group id="_x0000_s1027" style="position:absolute;left:0;text-align:left;margin-left:21.05pt;margin-top:-20.8pt;width:48.2pt;height:39.4pt;z-index:251661312" coordorigin="4592,6876" coordsize="964,788">
            <v:shape id="_x0000_s1028" type="#_x0000_t12" style="position:absolute;left:4592;top:6876;width:964;height:760" fillcolor="red"/>
            <v:shape id="_x0000_s1029" type="#_x0000_t202" style="position:absolute;left:4872;top:7037;width:479;height:627" filled="f" stroked="f">
              <v:textbox style="mso-next-textbox:#_x0000_s1029">
                <w:txbxContent>
                  <w:p w:rsidR="00B8110D" w:rsidRPr="00667B6E" w:rsidRDefault="00B8110D" w:rsidP="00401DA1">
                    <w:pPr>
                      <w:rPr>
                        <w:b/>
                        <w:sz w:val="30"/>
                        <w:szCs w:val="30"/>
                      </w:rPr>
                    </w:pPr>
                    <w:r w:rsidRPr="00667B6E">
                      <w:rPr>
                        <w:b/>
                        <w:sz w:val="30"/>
                        <w:szCs w:val="30"/>
                      </w:rPr>
                      <w:t>S</w:t>
                    </w:r>
                  </w:p>
                </w:txbxContent>
              </v:textbox>
            </v:shape>
          </v:group>
        </w:pict>
      </w:r>
      <w:r w:rsidR="00401DA1">
        <w:rPr>
          <w:rFonts w:ascii="Times New Roman" w:hAnsi="Times New Roman" w:cs="Times New Roman"/>
          <w:sz w:val="24"/>
          <w:szCs w:val="24"/>
        </w:rPr>
        <w:t>This symbol is used for items with small effect sizes for students.</w:t>
      </w:r>
    </w:p>
    <w:p w:rsidR="00401DA1" w:rsidRDefault="00401DA1" w:rsidP="00401DA1">
      <w:pPr>
        <w:ind w:left="720" w:firstLine="720"/>
        <w:rPr>
          <w:rFonts w:ascii="Times New Roman" w:hAnsi="Times New Roman" w:cs="Times New Roman"/>
          <w:sz w:val="24"/>
          <w:szCs w:val="24"/>
        </w:rPr>
      </w:pPr>
      <w:r>
        <w:rPr>
          <w:rFonts w:ascii="Times New Roman" w:hAnsi="Times New Roman" w:cs="Times New Roman"/>
          <w:sz w:val="24"/>
          <w:szCs w:val="24"/>
        </w:rPr>
        <w:t xml:space="preserve">This symbol is used for items with small effect sizes for teachers.  </w:t>
      </w:r>
    </w:p>
    <w:p w:rsidR="006D0000" w:rsidRDefault="006D0000" w:rsidP="00401DA1">
      <w:pPr>
        <w:pStyle w:val="Heading2"/>
      </w:pPr>
      <w:bookmarkStart w:id="2" w:name="_Toc307427563"/>
    </w:p>
    <w:p w:rsidR="006D0000" w:rsidRDefault="006D0000" w:rsidP="00401DA1">
      <w:pPr>
        <w:pStyle w:val="Heading2"/>
      </w:pPr>
    </w:p>
    <w:p w:rsidR="002745A0" w:rsidRDefault="002745A0" w:rsidP="00401DA1">
      <w:pPr>
        <w:pStyle w:val="Heading2"/>
      </w:pPr>
    </w:p>
    <w:p w:rsidR="00401DA1" w:rsidRDefault="00401DA1" w:rsidP="00401DA1">
      <w:pPr>
        <w:pStyle w:val="Heading2"/>
      </w:pPr>
      <w:r>
        <w:lastRenderedPageBreak/>
        <w:t>Item Response Analysis Example</w:t>
      </w:r>
      <w:bookmarkEnd w:id="2"/>
    </w:p>
    <w:p w:rsidR="00C17244" w:rsidRPr="009B7C64" w:rsidRDefault="00C17244" w:rsidP="00C17244">
      <w:pPr>
        <w:widowControl w:val="0"/>
        <w:autoSpaceDE w:val="0"/>
        <w:autoSpaceDN w:val="0"/>
        <w:adjustRightInd w:val="0"/>
        <w:spacing w:after="0" w:line="311" w:lineRule="exact"/>
        <w:rPr>
          <w:rFonts w:ascii="Palatino Linotype" w:hAnsi="Palatino Linotype" w:cs="Palatino Linotype"/>
          <w:color w:val="363435"/>
          <w:position w:val="1"/>
        </w:rPr>
      </w:pPr>
      <w:r w:rsidRPr="009B7C64">
        <w:rPr>
          <w:rFonts w:ascii="Palatino Linotype" w:hAnsi="Palatino Linotype" w:cs="Palatino Linotype"/>
          <w:color w:val="363435"/>
          <w:position w:val="1"/>
        </w:rPr>
        <w:t xml:space="preserve">se68. </w:t>
      </w:r>
      <w:r w:rsidRPr="009B7C64">
        <w:rPr>
          <w:rFonts w:ascii="Palatino Linotype" w:hAnsi="Palatino Linotype" w:cs="Palatino Linotype"/>
          <w:color w:val="363435"/>
          <w:spacing w:val="53"/>
          <w:position w:val="1"/>
        </w:rPr>
        <w:t xml:space="preserve"> </w:t>
      </w:r>
      <w:r w:rsidRPr="009B7C64">
        <w:rPr>
          <w:rFonts w:ascii="Palatino Linotype" w:hAnsi="Palatino Linotype" w:cs="Palatino Linotype"/>
          <w:color w:val="363435"/>
          <w:position w:val="1"/>
        </w:rPr>
        <w:t>What causes the 24-hour cycle of night and day?</w:t>
      </w:r>
    </w:p>
    <w:p w:rsidR="00C17244" w:rsidRPr="00D875BA" w:rsidRDefault="00C17244" w:rsidP="00C17244">
      <w:pPr>
        <w:widowControl w:val="0"/>
        <w:autoSpaceDE w:val="0"/>
        <w:autoSpaceDN w:val="0"/>
        <w:adjustRightInd w:val="0"/>
        <w:spacing w:after="0" w:line="311" w:lineRule="exact"/>
        <w:ind w:left="810"/>
        <w:rPr>
          <w:rFonts w:ascii="Palatino Linotype" w:hAnsi="Palatino Linotype" w:cs="Palatino Linotype"/>
          <w:color w:val="363435"/>
          <w:position w:val="1"/>
        </w:rPr>
      </w:pPr>
      <w:r w:rsidRPr="005D1D4E">
        <w:rPr>
          <w:rFonts w:ascii="Palatino Linotype" w:hAnsi="Palatino Linotype" w:cs="Palatino Linotype"/>
          <w:noProof/>
          <w:color w:val="000000"/>
          <w:sz w:val="24"/>
          <w:szCs w:val="24"/>
        </w:rPr>
        <w:pict>
          <v:group id="_x0000_s1050" style="position:absolute;left:0;text-align:left;margin-left:401.5pt;margin-top:4.9pt;width:48.2pt;height:39.4pt;z-index:251674624" coordorigin="4592,6876" coordsize="964,788">
            <v:shape id="_x0000_s1051" type="#_x0000_t12" style="position:absolute;left:4592;top:6876;width:964;height:760" fillcolor="yellow"/>
            <v:shape id="_x0000_s1052" type="#_x0000_t202" style="position:absolute;left:4872;top:7037;width:479;height:627" filled="f" stroked="f">
              <v:textbox>
                <w:txbxContent>
                  <w:p w:rsidR="00C17244" w:rsidRPr="00667B6E" w:rsidRDefault="00C17244" w:rsidP="00C17244">
                    <w:pPr>
                      <w:rPr>
                        <w:b/>
                        <w:sz w:val="30"/>
                        <w:szCs w:val="30"/>
                      </w:rPr>
                    </w:pPr>
                    <w:r>
                      <w:rPr>
                        <w:b/>
                        <w:sz w:val="30"/>
                        <w:szCs w:val="30"/>
                      </w:rPr>
                      <w:t>T</w:t>
                    </w:r>
                  </w:p>
                </w:txbxContent>
              </v:textbox>
            </v:shape>
          </v:group>
        </w:pict>
      </w:r>
      <w:r w:rsidRPr="005D1D4E">
        <w:rPr>
          <w:rFonts w:ascii="Calibri" w:hAnsi="Calibri" w:cs="Times New Roman"/>
          <w:noProof/>
        </w:rPr>
        <w:pict>
          <v:shape id="Freeform 69" o:spid="_x0000_s1049" style="position:absolute;left:0;text-align:left;margin-left:73.5pt;margin-top:13.3pt;width:441pt;height:0;z-index:-25164288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8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" o:allowincell="f" path="m,l8821,e" filled="f" strokecolor="#363435" strokeweight=".5pt">
            <v:path arrowok="t" o:connecttype="custom" o:connectlocs="0,0;5600700,0" o:connectangles="0,0"/>
            <w10:wrap anchorx="page"/>
          </v:shape>
        </w:pict>
      </w:r>
      <w:proofErr w:type="gramStart"/>
      <w:r w:rsidRPr="00D875BA">
        <w:rPr>
          <w:rFonts w:ascii="Comic Sans MS" w:hAnsi="Comic Sans MS" w:cs="Comic Sans MS"/>
          <w:color w:val="231F20"/>
        </w:rPr>
        <w:t>The rotation of the Earth.</w:t>
      </w:r>
      <w:proofErr w:type="gramEnd"/>
    </w:p>
    <w:p w:rsidR="00C17244" w:rsidRDefault="00C17244" w:rsidP="00C17244">
      <w:pPr>
        <w:widowControl w:val="0"/>
        <w:autoSpaceDE w:val="0"/>
        <w:autoSpaceDN w:val="0"/>
        <w:adjustRightInd w:val="0"/>
        <w:spacing w:after="0" w:line="311" w:lineRule="exact"/>
        <w:rPr>
          <w:rFonts w:ascii="Palatino Linotype" w:hAnsi="Palatino Linotype" w:cs="Palatino Linotype"/>
          <w:color w:val="000000"/>
          <w:sz w:val="24"/>
          <w:szCs w:val="24"/>
        </w:rPr>
      </w:pPr>
    </w:p>
    <w:tbl>
      <w:tblPr>
        <w:tblStyle w:val="TableGrid"/>
        <w:tblW w:w="9202" w:type="dxa"/>
        <w:tblInd w:w="378" w:type="dxa"/>
        <w:tblLayout w:type="fixed"/>
        <w:tblLook w:val="04A0"/>
      </w:tblPr>
      <w:tblGrid>
        <w:gridCol w:w="793"/>
        <w:gridCol w:w="3007"/>
        <w:gridCol w:w="236"/>
        <w:gridCol w:w="1120"/>
        <w:gridCol w:w="1011"/>
        <w:gridCol w:w="1012"/>
        <w:gridCol w:w="1011"/>
        <w:gridCol w:w="1012"/>
      </w:tblGrid>
      <w:tr w:rsidR="00C17244" w:rsidRPr="00540C91" w:rsidTr="005F371C">
        <w:trPr>
          <w:trHeight w:val="289"/>
        </w:trPr>
        <w:tc>
          <w:tcPr>
            <w:tcW w:w="793" w:type="dxa"/>
            <w:tcBorders>
              <w:top w:val="nil"/>
              <w:left w:val="nil"/>
              <w:right w:val="nil"/>
            </w:tcBorders>
            <w:vAlign w:val="center"/>
          </w:tcPr>
          <w:p w:rsidR="00C17244" w:rsidRPr="00540C91" w:rsidRDefault="00C17244" w:rsidP="005F371C">
            <w:pPr>
              <w:widowControl w:val="0"/>
              <w:autoSpaceDE w:val="0"/>
              <w:autoSpaceDN w:val="0"/>
              <w:adjustRightInd w:val="0"/>
              <w:spacing w:line="200" w:lineRule="exact"/>
              <w:jc w:val="center"/>
              <w:rPr>
                <w:b/>
              </w:rPr>
            </w:pPr>
          </w:p>
        </w:tc>
        <w:tc>
          <w:tcPr>
            <w:tcW w:w="3007" w:type="dxa"/>
            <w:tcBorders>
              <w:top w:val="nil"/>
              <w:left w:val="nil"/>
              <w:right w:val="nil"/>
            </w:tcBorders>
            <w:vAlign w:val="center"/>
          </w:tcPr>
          <w:p w:rsidR="00C17244" w:rsidRPr="00540C91" w:rsidRDefault="00C17244" w:rsidP="005F371C">
            <w:pPr>
              <w:pStyle w:val="Default"/>
              <w:tabs>
                <w:tab w:val="left" w:pos="630"/>
              </w:tabs>
              <w:ind w:left="-18"/>
              <w:rPr>
                <w:b/>
                <w:bCs/>
                <w:color w:val="auto"/>
                <w:sz w:val="20"/>
                <w:szCs w:val="20"/>
              </w:rPr>
            </w:pPr>
          </w:p>
        </w:tc>
        <w:tc>
          <w:tcPr>
            <w:tcW w:w="236" w:type="dxa"/>
            <w:tcBorders>
              <w:top w:val="nil"/>
              <w:left w:val="nil"/>
              <w:bottom w:val="nil"/>
            </w:tcBorders>
            <w:vAlign w:val="center"/>
          </w:tcPr>
          <w:p w:rsidR="00C17244" w:rsidRPr="00540C91" w:rsidRDefault="00C17244" w:rsidP="005F371C">
            <w:pPr>
              <w:widowControl w:val="0"/>
              <w:autoSpaceDE w:val="0"/>
              <w:autoSpaceDN w:val="0"/>
              <w:adjustRightInd w:val="0"/>
              <w:spacing w:line="200" w:lineRule="exact"/>
            </w:pPr>
          </w:p>
        </w:tc>
        <w:tc>
          <w:tcPr>
            <w:tcW w:w="1120" w:type="dxa"/>
            <w:tcBorders>
              <w:bottom w:val="nil"/>
            </w:tcBorders>
            <w:shd w:val="clear" w:color="auto" w:fill="B8CCE4" w:themeFill="accent1" w:themeFillTint="66"/>
            <w:vAlign w:val="center"/>
          </w:tcPr>
          <w:p w:rsidR="00C17244" w:rsidRPr="00540C91" w:rsidRDefault="00C17244" w:rsidP="005F371C">
            <w:pPr>
              <w:pStyle w:val="Default"/>
              <w:tabs>
                <w:tab w:val="left" w:pos="630"/>
              </w:tabs>
              <w:ind w:left="-18"/>
              <w:jc w:val="center"/>
              <w:rPr>
                <w:b/>
                <w:bCs/>
                <w:color w:val="auto"/>
                <w:sz w:val="20"/>
                <w:szCs w:val="20"/>
              </w:rPr>
            </w:pPr>
            <w:r w:rsidRPr="00540C91">
              <w:rPr>
                <w:b/>
                <w:bCs/>
                <w:color w:val="auto"/>
                <w:sz w:val="20"/>
                <w:szCs w:val="20"/>
              </w:rPr>
              <w:t>Response</w:t>
            </w:r>
          </w:p>
        </w:tc>
        <w:tc>
          <w:tcPr>
            <w:tcW w:w="4046" w:type="dxa"/>
            <w:gridSpan w:val="4"/>
            <w:shd w:val="clear" w:color="auto" w:fill="B8CCE4" w:themeFill="accent1" w:themeFillTint="66"/>
            <w:vAlign w:val="center"/>
          </w:tcPr>
          <w:p w:rsidR="00C17244" w:rsidRPr="00540C91" w:rsidRDefault="00C17244" w:rsidP="005F371C">
            <w:pPr>
              <w:pStyle w:val="Default"/>
              <w:tabs>
                <w:tab w:val="left" w:pos="630"/>
              </w:tabs>
              <w:ind w:left="-18"/>
              <w:jc w:val="center"/>
              <w:rPr>
                <w:b/>
                <w:bCs/>
                <w:color w:val="auto"/>
                <w:sz w:val="20"/>
                <w:szCs w:val="20"/>
              </w:rPr>
            </w:pPr>
            <w:r w:rsidRPr="00540C91">
              <w:rPr>
                <w:b/>
                <w:bCs/>
                <w:color w:val="auto"/>
                <w:sz w:val="20"/>
                <w:szCs w:val="20"/>
              </w:rPr>
              <w:t>Percentage</w:t>
            </w:r>
          </w:p>
        </w:tc>
      </w:tr>
      <w:tr w:rsidR="00C17244" w:rsidRPr="00540C91" w:rsidTr="005F371C">
        <w:trPr>
          <w:trHeight w:val="289"/>
        </w:trPr>
        <w:tc>
          <w:tcPr>
            <w:tcW w:w="793" w:type="dxa"/>
            <w:vAlign w:val="center"/>
          </w:tcPr>
          <w:p w:rsidR="00C17244" w:rsidRPr="00540C91" w:rsidRDefault="00C17244" w:rsidP="005F371C">
            <w:pPr>
              <w:widowControl w:val="0"/>
              <w:autoSpaceDE w:val="0"/>
              <w:autoSpaceDN w:val="0"/>
              <w:adjustRightInd w:val="0"/>
              <w:spacing w:line="200" w:lineRule="exact"/>
              <w:jc w:val="center"/>
              <w:rPr>
                <w:b/>
              </w:rPr>
            </w:pPr>
            <w:r>
              <w:rPr>
                <w:b/>
                <w:w w:val="103"/>
              </w:rPr>
              <w:t>se68.</w:t>
            </w:r>
          </w:p>
        </w:tc>
        <w:tc>
          <w:tcPr>
            <w:tcW w:w="3007" w:type="dxa"/>
            <w:vAlign w:val="center"/>
          </w:tcPr>
          <w:p w:rsidR="00C17244" w:rsidRPr="00540C91" w:rsidRDefault="00C17244" w:rsidP="005F371C">
            <w:pPr>
              <w:pStyle w:val="Default"/>
              <w:tabs>
                <w:tab w:val="left" w:pos="630"/>
              </w:tabs>
              <w:ind w:left="-18"/>
              <w:rPr>
                <w:color w:val="auto"/>
                <w:sz w:val="20"/>
                <w:szCs w:val="20"/>
              </w:rPr>
            </w:pPr>
            <w:r w:rsidRPr="00540C91">
              <w:rPr>
                <w:b/>
                <w:bCs/>
                <w:color w:val="auto"/>
                <w:sz w:val="20"/>
                <w:szCs w:val="20"/>
              </w:rPr>
              <w:t xml:space="preserve">If the student... </w:t>
            </w:r>
          </w:p>
        </w:tc>
        <w:tc>
          <w:tcPr>
            <w:tcW w:w="236" w:type="dxa"/>
            <w:tcBorders>
              <w:top w:val="nil"/>
              <w:bottom w:val="nil"/>
            </w:tcBorders>
            <w:vAlign w:val="center"/>
          </w:tcPr>
          <w:p w:rsidR="00C17244" w:rsidRPr="00540C91" w:rsidRDefault="00C17244" w:rsidP="005F371C">
            <w:pPr>
              <w:widowControl w:val="0"/>
              <w:autoSpaceDE w:val="0"/>
              <w:autoSpaceDN w:val="0"/>
              <w:adjustRightInd w:val="0"/>
              <w:spacing w:line="200" w:lineRule="exact"/>
            </w:pPr>
          </w:p>
        </w:tc>
        <w:tc>
          <w:tcPr>
            <w:tcW w:w="1120" w:type="dxa"/>
            <w:tcBorders>
              <w:top w:val="nil"/>
            </w:tcBorders>
            <w:shd w:val="clear" w:color="auto" w:fill="B8CCE4" w:themeFill="accent1" w:themeFillTint="66"/>
            <w:vAlign w:val="center"/>
          </w:tcPr>
          <w:p w:rsidR="00C17244" w:rsidRPr="00540C91" w:rsidRDefault="00C17244" w:rsidP="005F371C">
            <w:pPr>
              <w:pStyle w:val="Default"/>
              <w:tabs>
                <w:tab w:val="left" w:pos="630"/>
              </w:tabs>
              <w:ind w:left="-18"/>
              <w:jc w:val="center"/>
              <w:rPr>
                <w:b/>
                <w:bCs/>
                <w:color w:val="auto"/>
                <w:sz w:val="20"/>
                <w:szCs w:val="20"/>
              </w:rPr>
            </w:pPr>
            <w:r w:rsidRPr="00540C91">
              <w:rPr>
                <w:bCs/>
                <w:i/>
                <w:color w:val="auto"/>
                <w:sz w:val="20"/>
                <w:szCs w:val="20"/>
              </w:rPr>
              <w:t>(Rating)</w:t>
            </w:r>
          </w:p>
        </w:tc>
        <w:tc>
          <w:tcPr>
            <w:tcW w:w="1011" w:type="dxa"/>
            <w:shd w:val="clear" w:color="auto" w:fill="B8CCE4" w:themeFill="accent1" w:themeFillTint="66"/>
            <w:vAlign w:val="center"/>
          </w:tcPr>
          <w:p w:rsidR="00C17244" w:rsidRPr="00540C91" w:rsidRDefault="00C17244" w:rsidP="005F371C">
            <w:pPr>
              <w:pStyle w:val="Default"/>
              <w:tabs>
                <w:tab w:val="left" w:pos="630"/>
              </w:tabs>
              <w:ind w:left="-18"/>
              <w:jc w:val="center"/>
              <w:rPr>
                <w:b/>
                <w:bCs/>
                <w:color w:val="auto"/>
                <w:sz w:val="20"/>
                <w:szCs w:val="20"/>
              </w:rPr>
            </w:pPr>
            <w:r w:rsidRPr="00540C91">
              <w:rPr>
                <w:b/>
                <w:bCs/>
                <w:color w:val="auto"/>
                <w:sz w:val="20"/>
                <w:szCs w:val="20"/>
              </w:rPr>
              <w:t xml:space="preserve">Student </w:t>
            </w:r>
          </w:p>
          <w:p w:rsidR="00C17244" w:rsidRPr="00540C91" w:rsidRDefault="00C17244" w:rsidP="005F371C">
            <w:pPr>
              <w:pStyle w:val="Default"/>
              <w:tabs>
                <w:tab w:val="left" w:pos="630"/>
              </w:tabs>
              <w:ind w:left="-18"/>
              <w:jc w:val="center"/>
              <w:rPr>
                <w:b/>
                <w:bCs/>
                <w:color w:val="auto"/>
                <w:sz w:val="20"/>
                <w:szCs w:val="20"/>
              </w:rPr>
            </w:pPr>
            <w:r w:rsidRPr="00540C91">
              <w:rPr>
                <w:b/>
                <w:bCs/>
                <w:color w:val="auto"/>
                <w:sz w:val="20"/>
                <w:szCs w:val="20"/>
              </w:rPr>
              <w:t>Pretest</w:t>
            </w:r>
          </w:p>
        </w:tc>
        <w:tc>
          <w:tcPr>
            <w:tcW w:w="1012" w:type="dxa"/>
            <w:shd w:val="clear" w:color="auto" w:fill="B8CCE4" w:themeFill="accent1" w:themeFillTint="66"/>
            <w:vAlign w:val="center"/>
          </w:tcPr>
          <w:p w:rsidR="00C17244" w:rsidRPr="00540C91" w:rsidRDefault="00C17244" w:rsidP="005F371C">
            <w:pPr>
              <w:pStyle w:val="Default"/>
              <w:tabs>
                <w:tab w:val="left" w:pos="630"/>
              </w:tabs>
              <w:ind w:left="-18"/>
              <w:jc w:val="center"/>
              <w:rPr>
                <w:b/>
                <w:bCs/>
                <w:color w:val="auto"/>
                <w:sz w:val="20"/>
                <w:szCs w:val="20"/>
              </w:rPr>
            </w:pPr>
            <w:r w:rsidRPr="00540C91">
              <w:rPr>
                <w:b/>
                <w:bCs/>
                <w:color w:val="auto"/>
                <w:sz w:val="20"/>
                <w:szCs w:val="20"/>
              </w:rPr>
              <w:t xml:space="preserve">Student </w:t>
            </w:r>
          </w:p>
          <w:p w:rsidR="00C17244" w:rsidRPr="00540C91" w:rsidRDefault="00C17244" w:rsidP="005F371C">
            <w:pPr>
              <w:pStyle w:val="Default"/>
              <w:tabs>
                <w:tab w:val="left" w:pos="630"/>
              </w:tabs>
              <w:ind w:left="-18"/>
              <w:jc w:val="center"/>
              <w:rPr>
                <w:b/>
                <w:bCs/>
                <w:color w:val="auto"/>
                <w:sz w:val="20"/>
                <w:szCs w:val="20"/>
              </w:rPr>
            </w:pPr>
            <w:r w:rsidRPr="00540C91">
              <w:rPr>
                <w:b/>
                <w:bCs/>
                <w:color w:val="auto"/>
                <w:sz w:val="20"/>
                <w:szCs w:val="20"/>
              </w:rPr>
              <w:t>Posttest</w:t>
            </w:r>
          </w:p>
        </w:tc>
        <w:tc>
          <w:tcPr>
            <w:tcW w:w="1011" w:type="dxa"/>
            <w:shd w:val="clear" w:color="auto" w:fill="B8CCE4" w:themeFill="accent1" w:themeFillTint="66"/>
            <w:vAlign w:val="center"/>
          </w:tcPr>
          <w:p w:rsidR="00C17244" w:rsidRPr="00540C91" w:rsidRDefault="00C17244" w:rsidP="005F371C">
            <w:pPr>
              <w:pStyle w:val="Default"/>
              <w:tabs>
                <w:tab w:val="left" w:pos="630"/>
              </w:tabs>
              <w:ind w:left="-18"/>
              <w:jc w:val="center"/>
              <w:rPr>
                <w:b/>
                <w:bCs/>
                <w:color w:val="auto"/>
                <w:sz w:val="20"/>
                <w:szCs w:val="20"/>
              </w:rPr>
            </w:pPr>
            <w:r w:rsidRPr="00540C91">
              <w:rPr>
                <w:b/>
                <w:bCs/>
                <w:color w:val="auto"/>
                <w:sz w:val="20"/>
                <w:szCs w:val="20"/>
              </w:rPr>
              <w:t xml:space="preserve">Teacher </w:t>
            </w:r>
          </w:p>
          <w:p w:rsidR="00C17244" w:rsidRPr="00540C91" w:rsidRDefault="00C17244" w:rsidP="005F371C">
            <w:pPr>
              <w:pStyle w:val="Default"/>
              <w:tabs>
                <w:tab w:val="left" w:pos="630"/>
              </w:tabs>
              <w:ind w:left="-18"/>
              <w:jc w:val="center"/>
              <w:rPr>
                <w:b/>
                <w:bCs/>
                <w:color w:val="auto"/>
                <w:sz w:val="20"/>
                <w:szCs w:val="20"/>
              </w:rPr>
            </w:pPr>
            <w:r w:rsidRPr="00540C91">
              <w:rPr>
                <w:b/>
                <w:bCs/>
                <w:color w:val="auto"/>
                <w:sz w:val="20"/>
                <w:szCs w:val="20"/>
              </w:rPr>
              <w:t>Pretest</w:t>
            </w:r>
          </w:p>
        </w:tc>
        <w:tc>
          <w:tcPr>
            <w:tcW w:w="1012" w:type="dxa"/>
            <w:shd w:val="clear" w:color="auto" w:fill="B8CCE4" w:themeFill="accent1" w:themeFillTint="66"/>
            <w:vAlign w:val="center"/>
          </w:tcPr>
          <w:p w:rsidR="00C17244" w:rsidRPr="00540C91" w:rsidRDefault="00C17244" w:rsidP="005F371C">
            <w:pPr>
              <w:pStyle w:val="Default"/>
              <w:tabs>
                <w:tab w:val="left" w:pos="630"/>
              </w:tabs>
              <w:ind w:left="-18"/>
              <w:jc w:val="center"/>
              <w:rPr>
                <w:b/>
                <w:bCs/>
                <w:color w:val="auto"/>
                <w:sz w:val="20"/>
                <w:szCs w:val="20"/>
              </w:rPr>
            </w:pPr>
            <w:r w:rsidRPr="00540C91">
              <w:rPr>
                <w:b/>
                <w:bCs/>
                <w:color w:val="auto"/>
                <w:sz w:val="20"/>
                <w:szCs w:val="20"/>
              </w:rPr>
              <w:t xml:space="preserve">Teacher </w:t>
            </w:r>
          </w:p>
          <w:p w:rsidR="00C17244" w:rsidRPr="00540C91" w:rsidRDefault="00C17244" w:rsidP="005F371C">
            <w:pPr>
              <w:pStyle w:val="Default"/>
              <w:tabs>
                <w:tab w:val="left" w:pos="630"/>
              </w:tabs>
              <w:ind w:left="-18"/>
              <w:jc w:val="center"/>
              <w:rPr>
                <w:b/>
                <w:bCs/>
                <w:color w:val="auto"/>
                <w:sz w:val="20"/>
                <w:szCs w:val="20"/>
              </w:rPr>
            </w:pPr>
            <w:r w:rsidRPr="00540C91">
              <w:rPr>
                <w:b/>
                <w:bCs/>
                <w:color w:val="auto"/>
                <w:sz w:val="20"/>
                <w:szCs w:val="20"/>
              </w:rPr>
              <w:t>Posttest</w:t>
            </w:r>
          </w:p>
        </w:tc>
      </w:tr>
      <w:tr w:rsidR="00C17244" w:rsidRPr="00540C91" w:rsidTr="005F371C">
        <w:trPr>
          <w:trHeight w:val="362"/>
        </w:trPr>
        <w:tc>
          <w:tcPr>
            <w:tcW w:w="793" w:type="dxa"/>
            <w:vAlign w:val="center"/>
          </w:tcPr>
          <w:p w:rsidR="00C17244" w:rsidRPr="00540C91" w:rsidRDefault="00C17244" w:rsidP="005F371C">
            <w:pPr>
              <w:widowControl w:val="0"/>
              <w:autoSpaceDE w:val="0"/>
              <w:autoSpaceDN w:val="0"/>
              <w:adjustRightInd w:val="0"/>
              <w:spacing w:line="200" w:lineRule="exact"/>
              <w:jc w:val="center"/>
            </w:pPr>
            <w:r w:rsidRPr="00540C91">
              <w:t>2</w:t>
            </w:r>
          </w:p>
        </w:tc>
        <w:tc>
          <w:tcPr>
            <w:tcW w:w="3007" w:type="dxa"/>
          </w:tcPr>
          <w:p w:rsidR="00C17244" w:rsidRPr="002C2049" w:rsidRDefault="00C17244" w:rsidP="005F371C">
            <w:pPr>
              <w:widowControl w:val="0"/>
              <w:autoSpaceDE w:val="0"/>
              <w:autoSpaceDN w:val="0"/>
              <w:adjustRightInd w:val="0"/>
              <w:spacing w:before="91" w:line="240" w:lineRule="exact"/>
              <w:ind w:right="155"/>
              <w:rPr>
                <w:sz w:val="24"/>
                <w:szCs w:val="24"/>
              </w:rPr>
            </w:pPr>
            <w:proofErr w:type="gramStart"/>
            <w:r w:rsidRPr="00736717">
              <w:rPr>
                <w:rFonts w:ascii="Palatino Linotype" w:hAnsi="Palatino Linotype" w:cs="Palatino Linotype"/>
                <w:color w:val="363435"/>
              </w:rPr>
              <w:t>indicates</w:t>
            </w:r>
            <w:proofErr w:type="gramEnd"/>
            <w:r w:rsidRPr="00736717">
              <w:rPr>
                <w:rFonts w:ascii="Palatino Linotype" w:hAnsi="Palatino Linotype" w:cs="Palatino Linotype"/>
                <w:color w:val="363435"/>
              </w:rPr>
              <w:t xml:space="preserve"> the </w:t>
            </w:r>
            <w:r w:rsidRPr="00736717">
              <w:rPr>
                <w:rFonts w:ascii="Palatino Linotype" w:hAnsi="Palatino Linotype" w:cs="Palatino Linotype"/>
                <w:color w:val="363435"/>
                <w:spacing w:val="-4"/>
              </w:rPr>
              <w:t>r</w:t>
            </w:r>
            <w:r w:rsidRPr="00736717">
              <w:rPr>
                <w:rFonts w:ascii="Palatino Linotype" w:hAnsi="Palatino Linotype" w:cs="Palatino Linotype"/>
                <w:color w:val="363435"/>
              </w:rPr>
              <w:t>otation of the Earth causes the 24-hour cycle of night and da</w:t>
            </w:r>
            <w:r w:rsidRPr="00736717">
              <w:rPr>
                <w:rFonts w:ascii="Palatino Linotype" w:hAnsi="Palatino Linotype" w:cs="Palatino Linotype"/>
                <w:color w:val="363435"/>
                <w:spacing w:val="-22"/>
              </w:rPr>
              <w:t>y</w:t>
            </w:r>
            <w:r w:rsidRPr="00736717">
              <w:rPr>
                <w:rFonts w:ascii="Palatino Linotype" w:hAnsi="Palatino Linotype" w:cs="Palatino Linotype"/>
                <w:color w:val="363435"/>
              </w:rPr>
              <w:t>.</w:t>
            </w:r>
          </w:p>
        </w:tc>
        <w:tc>
          <w:tcPr>
            <w:tcW w:w="236" w:type="dxa"/>
            <w:tcBorders>
              <w:top w:val="nil"/>
              <w:bottom w:val="nil"/>
            </w:tcBorders>
            <w:vAlign w:val="center"/>
          </w:tcPr>
          <w:p w:rsidR="00C17244" w:rsidRPr="00540C91" w:rsidRDefault="00C17244" w:rsidP="005F371C">
            <w:pPr>
              <w:widowControl w:val="0"/>
              <w:autoSpaceDE w:val="0"/>
              <w:autoSpaceDN w:val="0"/>
              <w:adjustRightInd w:val="0"/>
              <w:spacing w:line="200" w:lineRule="exact"/>
            </w:pPr>
          </w:p>
        </w:tc>
        <w:tc>
          <w:tcPr>
            <w:tcW w:w="1120" w:type="dxa"/>
            <w:shd w:val="clear" w:color="auto" w:fill="B8CCE4" w:themeFill="accent1" w:themeFillTint="66"/>
            <w:vAlign w:val="center"/>
          </w:tcPr>
          <w:p w:rsidR="00C17244" w:rsidRPr="00540C91" w:rsidRDefault="00C17244" w:rsidP="005F371C">
            <w:pPr>
              <w:widowControl w:val="0"/>
              <w:autoSpaceDE w:val="0"/>
              <w:autoSpaceDN w:val="0"/>
              <w:adjustRightInd w:val="0"/>
              <w:spacing w:line="200" w:lineRule="exact"/>
              <w:jc w:val="center"/>
              <w:rPr>
                <w:b/>
              </w:rPr>
            </w:pPr>
            <w:r w:rsidRPr="00540C91">
              <w:rPr>
                <w:b/>
              </w:rPr>
              <w:t>2</w:t>
            </w:r>
          </w:p>
        </w:tc>
        <w:tc>
          <w:tcPr>
            <w:tcW w:w="1011" w:type="dxa"/>
            <w:vAlign w:val="center"/>
          </w:tcPr>
          <w:p w:rsidR="00C17244" w:rsidRPr="00540C91" w:rsidRDefault="00C17244" w:rsidP="005F371C">
            <w:pPr>
              <w:jc w:val="center"/>
              <w:rPr>
                <w:color w:val="000000"/>
              </w:rPr>
            </w:pPr>
            <w:r>
              <w:rPr>
                <w:color w:val="000000"/>
              </w:rPr>
              <w:t>38</w:t>
            </w:r>
          </w:p>
        </w:tc>
        <w:tc>
          <w:tcPr>
            <w:tcW w:w="1012" w:type="dxa"/>
            <w:vAlign w:val="center"/>
          </w:tcPr>
          <w:p w:rsidR="00C17244" w:rsidRPr="00540C91" w:rsidRDefault="00C17244" w:rsidP="005F371C">
            <w:pPr>
              <w:widowControl w:val="0"/>
              <w:autoSpaceDE w:val="0"/>
              <w:autoSpaceDN w:val="0"/>
              <w:adjustRightInd w:val="0"/>
              <w:spacing w:line="200" w:lineRule="exact"/>
              <w:jc w:val="center"/>
            </w:pPr>
            <w:r>
              <w:t>68</w:t>
            </w:r>
          </w:p>
        </w:tc>
        <w:tc>
          <w:tcPr>
            <w:tcW w:w="1011" w:type="dxa"/>
            <w:vAlign w:val="center"/>
          </w:tcPr>
          <w:p w:rsidR="00C17244" w:rsidRPr="00540C91" w:rsidRDefault="00C17244" w:rsidP="005F371C">
            <w:pPr>
              <w:widowControl w:val="0"/>
              <w:autoSpaceDE w:val="0"/>
              <w:autoSpaceDN w:val="0"/>
              <w:adjustRightInd w:val="0"/>
              <w:spacing w:line="200" w:lineRule="exact"/>
              <w:jc w:val="center"/>
            </w:pPr>
            <w:r>
              <w:t>90</w:t>
            </w:r>
          </w:p>
        </w:tc>
        <w:tc>
          <w:tcPr>
            <w:tcW w:w="1012" w:type="dxa"/>
            <w:vAlign w:val="center"/>
          </w:tcPr>
          <w:p w:rsidR="00C17244" w:rsidRPr="00540C91" w:rsidRDefault="00C17244" w:rsidP="005F371C">
            <w:pPr>
              <w:widowControl w:val="0"/>
              <w:autoSpaceDE w:val="0"/>
              <w:autoSpaceDN w:val="0"/>
              <w:adjustRightInd w:val="0"/>
              <w:spacing w:line="200" w:lineRule="exact"/>
              <w:jc w:val="center"/>
            </w:pPr>
            <w:r>
              <w:t>75</w:t>
            </w:r>
          </w:p>
        </w:tc>
      </w:tr>
      <w:tr w:rsidR="00C17244" w:rsidRPr="00540C91" w:rsidTr="005F371C">
        <w:trPr>
          <w:trHeight w:val="362"/>
        </w:trPr>
        <w:tc>
          <w:tcPr>
            <w:tcW w:w="793" w:type="dxa"/>
            <w:vAlign w:val="center"/>
          </w:tcPr>
          <w:p w:rsidR="00C17244" w:rsidRPr="00540C91" w:rsidRDefault="00C17244" w:rsidP="005F371C">
            <w:pPr>
              <w:widowControl w:val="0"/>
              <w:autoSpaceDE w:val="0"/>
              <w:autoSpaceDN w:val="0"/>
              <w:adjustRightInd w:val="0"/>
              <w:spacing w:line="200" w:lineRule="exact"/>
              <w:jc w:val="center"/>
            </w:pPr>
            <w:r w:rsidRPr="00540C91">
              <w:t>1</w:t>
            </w:r>
          </w:p>
        </w:tc>
        <w:tc>
          <w:tcPr>
            <w:tcW w:w="3007" w:type="dxa"/>
          </w:tcPr>
          <w:p w:rsidR="00C17244" w:rsidRPr="00736717" w:rsidRDefault="00C17244" w:rsidP="005F371C">
            <w:pPr>
              <w:widowControl w:val="0"/>
              <w:autoSpaceDE w:val="0"/>
              <w:autoSpaceDN w:val="0"/>
              <w:adjustRightInd w:val="0"/>
              <w:spacing w:before="32"/>
              <w:rPr>
                <w:sz w:val="24"/>
                <w:szCs w:val="24"/>
              </w:rPr>
            </w:pPr>
            <w:proofErr w:type="gramStart"/>
            <w:r w:rsidRPr="00736717">
              <w:rPr>
                <w:rFonts w:ascii="Palatino Linotype" w:hAnsi="Palatino Linotype" w:cs="Palatino Linotype"/>
                <w:color w:val="363435"/>
              </w:rPr>
              <w:t>p</w:t>
            </w:r>
            <w:r w:rsidRPr="00736717">
              <w:rPr>
                <w:rFonts w:ascii="Palatino Linotype" w:hAnsi="Palatino Linotype" w:cs="Palatino Linotype"/>
                <w:color w:val="363435"/>
                <w:spacing w:val="-4"/>
              </w:rPr>
              <w:t>r</w:t>
            </w:r>
            <w:r w:rsidRPr="00736717">
              <w:rPr>
                <w:rFonts w:ascii="Palatino Linotype" w:hAnsi="Palatino Linotype" w:cs="Palatino Linotype"/>
                <w:color w:val="363435"/>
              </w:rPr>
              <w:t>ovides</w:t>
            </w:r>
            <w:proofErr w:type="gramEnd"/>
            <w:r w:rsidRPr="00736717">
              <w:rPr>
                <w:rFonts w:ascii="Palatino Linotype" w:hAnsi="Palatino Linotype" w:cs="Palatino Linotype"/>
                <w:color w:val="363435"/>
              </w:rPr>
              <w:t xml:space="preserve"> any other answe</w:t>
            </w:r>
            <w:r w:rsidRPr="00736717">
              <w:rPr>
                <w:rFonts w:ascii="Palatino Linotype" w:hAnsi="Palatino Linotype" w:cs="Palatino Linotype"/>
                <w:color w:val="363435"/>
                <w:spacing w:val="-15"/>
              </w:rPr>
              <w:t>r</w:t>
            </w:r>
            <w:r w:rsidRPr="00736717">
              <w:rPr>
                <w:rFonts w:ascii="Palatino Linotype" w:hAnsi="Palatino Linotype" w:cs="Palatino Linotype"/>
                <w:color w:val="363435"/>
              </w:rPr>
              <w:t>.</w:t>
            </w:r>
          </w:p>
        </w:tc>
        <w:tc>
          <w:tcPr>
            <w:tcW w:w="236" w:type="dxa"/>
            <w:tcBorders>
              <w:top w:val="nil"/>
              <w:bottom w:val="nil"/>
            </w:tcBorders>
            <w:vAlign w:val="center"/>
          </w:tcPr>
          <w:p w:rsidR="00C17244" w:rsidRPr="00540C91" w:rsidRDefault="00C17244" w:rsidP="005F371C">
            <w:pPr>
              <w:widowControl w:val="0"/>
              <w:autoSpaceDE w:val="0"/>
              <w:autoSpaceDN w:val="0"/>
              <w:adjustRightInd w:val="0"/>
              <w:spacing w:line="200" w:lineRule="exact"/>
            </w:pPr>
          </w:p>
        </w:tc>
        <w:tc>
          <w:tcPr>
            <w:tcW w:w="1120" w:type="dxa"/>
            <w:shd w:val="clear" w:color="auto" w:fill="B8CCE4" w:themeFill="accent1" w:themeFillTint="66"/>
            <w:vAlign w:val="center"/>
          </w:tcPr>
          <w:p w:rsidR="00C17244" w:rsidRPr="00540C91" w:rsidRDefault="00C17244" w:rsidP="005F371C">
            <w:pPr>
              <w:widowControl w:val="0"/>
              <w:autoSpaceDE w:val="0"/>
              <w:autoSpaceDN w:val="0"/>
              <w:adjustRightInd w:val="0"/>
              <w:spacing w:line="200" w:lineRule="exact"/>
              <w:jc w:val="center"/>
              <w:rPr>
                <w:b/>
              </w:rPr>
            </w:pPr>
            <w:r w:rsidRPr="00540C91">
              <w:rPr>
                <w:b/>
              </w:rPr>
              <w:t>1</w:t>
            </w:r>
          </w:p>
        </w:tc>
        <w:tc>
          <w:tcPr>
            <w:tcW w:w="1011" w:type="dxa"/>
            <w:vAlign w:val="center"/>
          </w:tcPr>
          <w:p w:rsidR="00C17244" w:rsidRPr="00540C91" w:rsidRDefault="00C17244" w:rsidP="005F371C">
            <w:pPr>
              <w:jc w:val="center"/>
              <w:rPr>
                <w:color w:val="000000"/>
              </w:rPr>
            </w:pPr>
            <w:r>
              <w:rPr>
                <w:color w:val="000000"/>
              </w:rPr>
              <w:t>48</w:t>
            </w:r>
          </w:p>
        </w:tc>
        <w:tc>
          <w:tcPr>
            <w:tcW w:w="1012" w:type="dxa"/>
            <w:vAlign w:val="center"/>
          </w:tcPr>
          <w:p w:rsidR="00C17244" w:rsidRPr="00540C91" w:rsidRDefault="00C17244" w:rsidP="005F371C">
            <w:pPr>
              <w:widowControl w:val="0"/>
              <w:autoSpaceDE w:val="0"/>
              <w:autoSpaceDN w:val="0"/>
              <w:adjustRightInd w:val="0"/>
              <w:spacing w:line="200" w:lineRule="exact"/>
              <w:jc w:val="center"/>
            </w:pPr>
            <w:r>
              <w:t>27</w:t>
            </w:r>
          </w:p>
        </w:tc>
        <w:tc>
          <w:tcPr>
            <w:tcW w:w="1011" w:type="dxa"/>
            <w:vAlign w:val="center"/>
          </w:tcPr>
          <w:p w:rsidR="00C17244" w:rsidRPr="00540C91" w:rsidRDefault="00C17244" w:rsidP="005F371C">
            <w:pPr>
              <w:widowControl w:val="0"/>
              <w:autoSpaceDE w:val="0"/>
              <w:autoSpaceDN w:val="0"/>
              <w:adjustRightInd w:val="0"/>
              <w:spacing w:line="200" w:lineRule="exact"/>
              <w:jc w:val="center"/>
            </w:pPr>
            <w:r>
              <w:t>10</w:t>
            </w:r>
          </w:p>
        </w:tc>
        <w:tc>
          <w:tcPr>
            <w:tcW w:w="1012" w:type="dxa"/>
            <w:vAlign w:val="center"/>
          </w:tcPr>
          <w:p w:rsidR="00C17244" w:rsidRPr="00540C91" w:rsidRDefault="00C17244" w:rsidP="005F371C">
            <w:pPr>
              <w:widowControl w:val="0"/>
              <w:autoSpaceDE w:val="0"/>
              <w:autoSpaceDN w:val="0"/>
              <w:adjustRightInd w:val="0"/>
              <w:spacing w:line="200" w:lineRule="exact"/>
              <w:jc w:val="center"/>
            </w:pPr>
            <w:r>
              <w:t>25</w:t>
            </w:r>
          </w:p>
        </w:tc>
      </w:tr>
      <w:tr w:rsidR="00C17244" w:rsidRPr="00540C91" w:rsidTr="005F371C">
        <w:trPr>
          <w:trHeight w:val="362"/>
        </w:trPr>
        <w:tc>
          <w:tcPr>
            <w:tcW w:w="793" w:type="dxa"/>
            <w:vAlign w:val="center"/>
          </w:tcPr>
          <w:p w:rsidR="00C17244" w:rsidRPr="00540C91" w:rsidRDefault="00C17244" w:rsidP="005F371C">
            <w:pPr>
              <w:widowControl w:val="0"/>
              <w:autoSpaceDE w:val="0"/>
              <w:autoSpaceDN w:val="0"/>
              <w:adjustRightInd w:val="0"/>
              <w:spacing w:line="200" w:lineRule="exact"/>
              <w:jc w:val="center"/>
            </w:pPr>
            <w:r w:rsidRPr="00540C91">
              <w:t>0</w:t>
            </w:r>
          </w:p>
        </w:tc>
        <w:tc>
          <w:tcPr>
            <w:tcW w:w="3007" w:type="dxa"/>
          </w:tcPr>
          <w:p w:rsidR="00C17244" w:rsidRPr="00736717" w:rsidRDefault="00C17244" w:rsidP="005F371C">
            <w:pPr>
              <w:widowControl w:val="0"/>
              <w:autoSpaceDE w:val="0"/>
              <w:autoSpaceDN w:val="0"/>
              <w:adjustRightInd w:val="0"/>
              <w:spacing w:before="32"/>
              <w:rPr>
                <w:sz w:val="24"/>
                <w:szCs w:val="24"/>
              </w:rPr>
            </w:pPr>
            <w:proofErr w:type="gramStart"/>
            <w:r w:rsidRPr="00736717">
              <w:rPr>
                <w:rFonts w:ascii="Palatino Linotype" w:hAnsi="Palatino Linotype" w:cs="Palatino Linotype"/>
                <w:color w:val="363435"/>
              </w:rPr>
              <w:t>makes</w:t>
            </w:r>
            <w:proofErr w:type="gramEnd"/>
            <w:r w:rsidRPr="00736717">
              <w:rPr>
                <w:rFonts w:ascii="Palatino Linotype" w:hAnsi="Palatino Linotype" w:cs="Palatino Linotype"/>
                <w:color w:val="363435"/>
              </w:rPr>
              <w:t xml:space="preserve"> no attempt.</w:t>
            </w:r>
          </w:p>
        </w:tc>
        <w:tc>
          <w:tcPr>
            <w:tcW w:w="236" w:type="dxa"/>
            <w:tcBorders>
              <w:top w:val="nil"/>
              <w:bottom w:val="nil"/>
            </w:tcBorders>
            <w:vAlign w:val="center"/>
          </w:tcPr>
          <w:p w:rsidR="00C17244" w:rsidRPr="00540C91" w:rsidRDefault="00C17244" w:rsidP="005F371C">
            <w:pPr>
              <w:widowControl w:val="0"/>
              <w:autoSpaceDE w:val="0"/>
              <w:autoSpaceDN w:val="0"/>
              <w:adjustRightInd w:val="0"/>
              <w:spacing w:line="200" w:lineRule="exact"/>
            </w:pPr>
          </w:p>
        </w:tc>
        <w:tc>
          <w:tcPr>
            <w:tcW w:w="1120" w:type="dxa"/>
            <w:shd w:val="clear" w:color="auto" w:fill="B8CCE4" w:themeFill="accent1" w:themeFillTint="66"/>
            <w:vAlign w:val="center"/>
          </w:tcPr>
          <w:p w:rsidR="00C17244" w:rsidRPr="00540C91" w:rsidRDefault="00C17244" w:rsidP="005F371C">
            <w:pPr>
              <w:widowControl w:val="0"/>
              <w:autoSpaceDE w:val="0"/>
              <w:autoSpaceDN w:val="0"/>
              <w:adjustRightInd w:val="0"/>
              <w:spacing w:line="200" w:lineRule="exact"/>
              <w:jc w:val="center"/>
              <w:rPr>
                <w:b/>
              </w:rPr>
            </w:pPr>
            <w:r w:rsidRPr="00540C91">
              <w:rPr>
                <w:b/>
              </w:rPr>
              <w:t>0</w:t>
            </w:r>
          </w:p>
        </w:tc>
        <w:tc>
          <w:tcPr>
            <w:tcW w:w="1011" w:type="dxa"/>
            <w:vAlign w:val="center"/>
          </w:tcPr>
          <w:p w:rsidR="00C17244" w:rsidRPr="00540C91" w:rsidRDefault="00C17244" w:rsidP="005F371C">
            <w:pPr>
              <w:jc w:val="center"/>
              <w:rPr>
                <w:color w:val="000000"/>
              </w:rPr>
            </w:pPr>
            <w:r>
              <w:rPr>
                <w:color w:val="000000"/>
              </w:rPr>
              <w:t>15</w:t>
            </w:r>
          </w:p>
        </w:tc>
        <w:tc>
          <w:tcPr>
            <w:tcW w:w="1012" w:type="dxa"/>
            <w:vAlign w:val="center"/>
          </w:tcPr>
          <w:p w:rsidR="00C17244" w:rsidRPr="00540C91" w:rsidRDefault="00C17244" w:rsidP="005F371C">
            <w:pPr>
              <w:widowControl w:val="0"/>
              <w:autoSpaceDE w:val="0"/>
              <w:autoSpaceDN w:val="0"/>
              <w:adjustRightInd w:val="0"/>
              <w:spacing w:line="200" w:lineRule="exact"/>
              <w:jc w:val="center"/>
            </w:pPr>
            <w:r>
              <w:t>5</w:t>
            </w:r>
          </w:p>
        </w:tc>
        <w:tc>
          <w:tcPr>
            <w:tcW w:w="1011" w:type="dxa"/>
            <w:vAlign w:val="center"/>
          </w:tcPr>
          <w:p w:rsidR="00C17244" w:rsidRPr="00540C91" w:rsidRDefault="00C17244" w:rsidP="005F371C">
            <w:pPr>
              <w:widowControl w:val="0"/>
              <w:autoSpaceDE w:val="0"/>
              <w:autoSpaceDN w:val="0"/>
              <w:adjustRightInd w:val="0"/>
              <w:spacing w:line="200" w:lineRule="exact"/>
              <w:jc w:val="center"/>
            </w:pPr>
            <w:r>
              <w:t>-</w:t>
            </w:r>
          </w:p>
        </w:tc>
        <w:tc>
          <w:tcPr>
            <w:tcW w:w="1012" w:type="dxa"/>
            <w:vAlign w:val="center"/>
          </w:tcPr>
          <w:p w:rsidR="00C17244" w:rsidRPr="00540C91" w:rsidRDefault="00C17244" w:rsidP="005F371C">
            <w:pPr>
              <w:widowControl w:val="0"/>
              <w:autoSpaceDE w:val="0"/>
              <w:autoSpaceDN w:val="0"/>
              <w:adjustRightInd w:val="0"/>
              <w:spacing w:line="200" w:lineRule="exact"/>
              <w:jc w:val="center"/>
            </w:pPr>
            <w:r>
              <w:t>-</w:t>
            </w:r>
          </w:p>
        </w:tc>
      </w:tr>
    </w:tbl>
    <w:p w:rsidR="00401DA1" w:rsidRPr="00133E21" w:rsidRDefault="00401DA1" w:rsidP="00401DA1">
      <w:pPr>
        <w:widowControl w:val="0"/>
        <w:autoSpaceDE w:val="0"/>
        <w:autoSpaceDN w:val="0"/>
        <w:adjustRightInd w:val="0"/>
        <w:spacing w:after="0" w:line="200" w:lineRule="exact"/>
        <w:rPr>
          <w:rFonts w:ascii="Palatino Linotype" w:hAnsi="Palatino Linotype" w:cs="Palatino Linotype"/>
          <w:sz w:val="20"/>
          <w:szCs w:val="20"/>
        </w:rPr>
      </w:pPr>
    </w:p>
    <w:p w:rsidR="00401DA1" w:rsidRDefault="006D0000" w:rsidP="00401DA1">
      <w:pPr>
        <w:rPr>
          <w:i/>
          <w:smallCaps/>
          <w:spacing w:val="5"/>
          <w:sz w:val="36"/>
          <w:szCs w:val="36"/>
        </w:rPr>
      </w:pPr>
      <w:r>
        <w:rPr>
          <w:rFonts w:ascii="Times New Roman" w:hAnsi="Times New Roman" w:cs="Times New Roman"/>
          <w:sz w:val="24"/>
          <w:szCs w:val="24"/>
        </w:rPr>
        <w:tab/>
      </w:r>
      <w:r w:rsidR="005134D8">
        <w:rPr>
          <w:rFonts w:ascii="Times New Roman" w:hAnsi="Times New Roman" w:cs="Times New Roman"/>
          <w:sz w:val="24"/>
          <w:szCs w:val="24"/>
        </w:rPr>
        <w:t xml:space="preserve">We also provided reflection worksheets to be used by the </w:t>
      </w:r>
      <w:r w:rsidR="00FD5992">
        <w:rPr>
          <w:rFonts w:ascii="Times New Roman" w:hAnsi="Times New Roman" w:cs="Times New Roman"/>
          <w:sz w:val="24"/>
          <w:szCs w:val="24"/>
        </w:rPr>
        <w:t xml:space="preserve">Science coaches </w:t>
      </w:r>
      <w:r w:rsidR="005134D8">
        <w:rPr>
          <w:rFonts w:ascii="Times New Roman" w:hAnsi="Times New Roman" w:cs="Times New Roman"/>
          <w:sz w:val="24"/>
          <w:szCs w:val="24"/>
        </w:rPr>
        <w:t xml:space="preserve">with the item level data. </w:t>
      </w:r>
      <w:r w:rsidR="00B8110D">
        <w:rPr>
          <w:rFonts w:ascii="Times New Roman" w:hAnsi="Times New Roman" w:cs="Times New Roman"/>
          <w:sz w:val="24"/>
          <w:szCs w:val="24"/>
        </w:rPr>
        <w:t xml:space="preserve">An example of a reflection worksheet for the Sun, Moon, and Stars kit is shown below. </w:t>
      </w:r>
      <w:r w:rsidR="005134D8">
        <w:rPr>
          <w:rFonts w:ascii="Times New Roman" w:hAnsi="Times New Roman" w:cs="Times New Roman"/>
          <w:sz w:val="24"/>
          <w:szCs w:val="24"/>
        </w:rPr>
        <w:t xml:space="preserve">The client responded positively to this item analysis report with reflections and used them in the </w:t>
      </w:r>
      <w:r w:rsidR="002745A0">
        <w:rPr>
          <w:rFonts w:ascii="Times New Roman" w:hAnsi="Times New Roman" w:cs="Times New Roman"/>
          <w:sz w:val="24"/>
          <w:szCs w:val="24"/>
        </w:rPr>
        <w:t>science coach training</w:t>
      </w:r>
      <w:r w:rsidR="005134D8">
        <w:rPr>
          <w:rFonts w:ascii="Times New Roman" w:hAnsi="Times New Roman" w:cs="Times New Roman"/>
          <w:sz w:val="24"/>
          <w:szCs w:val="24"/>
        </w:rPr>
        <w:t xml:space="preserve"> the summer prior to the second year of the program. The project lead reported that these reports were well received, and the </w:t>
      </w:r>
      <w:r w:rsidR="002745A0">
        <w:rPr>
          <w:rFonts w:ascii="Times New Roman" w:hAnsi="Times New Roman" w:cs="Times New Roman"/>
          <w:sz w:val="24"/>
          <w:szCs w:val="24"/>
        </w:rPr>
        <w:t>science coaches</w:t>
      </w:r>
      <w:r w:rsidR="005134D8">
        <w:rPr>
          <w:rFonts w:ascii="Times New Roman" w:hAnsi="Times New Roman" w:cs="Times New Roman"/>
          <w:sz w:val="24"/>
          <w:szCs w:val="24"/>
        </w:rPr>
        <w:t xml:space="preserve"> were able to use them to target areas in need of additional support for teachers and re</w:t>
      </w:r>
      <w:r w:rsidR="00940E70">
        <w:rPr>
          <w:rFonts w:ascii="Times New Roman" w:hAnsi="Times New Roman" w:cs="Times New Roman"/>
          <w:sz w:val="24"/>
          <w:szCs w:val="24"/>
        </w:rPr>
        <w:t>-</w:t>
      </w:r>
      <w:r w:rsidR="005134D8">
        <w:rPr>
          <w:rFonts w:ascii="Times New Roman" w:hAnsi="Times New Roman" w:cs="Times New Roman"/>
          <w:sz w:val="24"/>
          <w:szCs w:val="24"/>
        </w:rPr>
        <w:t>teaching.</w:t>
      </w:r>
    </w:p>
    <w:p w:rsidR="00401DA1" w:rsidRPr="00940E70" w:rsidRDefault="00401DA1" w:rsidP="00401DA1">
      <w:pPr>
        <w:pStyle w:val="Heading1"/>
        <w:rPr>
          <w:sz w:val="24"/>
          <w:szCs w:val="24"/>
        </w:rPr>
      </w:pPr>
      <w:bookmarkStart w:id="3" w:name="_Toc307427564"/>
      <w:r w:rsidRPr="00940E70">
        <w:rPr>
          <w:sz w:val="24"/>
          <w:szCs w:val="24"/>
        </w:rPr>
        <w:t>Reflections</w:t>
      </w:r>
      <w:bookmarkEnd w:id="3"/>
    </w:p>
    <w:p w:rsidR="00401DA1" w:rsidRDefault="00401DA1" w:rsidP="00401DA1">
      <w:pPr>
        <w:rPr>
          <w:rFonts w:ascii="Times New Roman" w:hAnsi="Times New Roman" w:cs="Times New Roman"/>
          <w:sz w:val="24"/>
          <w:szCs w:val="24"/>
        </w:rPr>
      </w:pPr>
      <w:r>
        <w:rPr>
          <w:rFonts w:ascii="Times New Roman" w:hAnsi="Times New Roman" w:cs="Times New Roman"/>
          <w:sz w:val="24"/>
          <w:szCs w:val="24"/>
        </w:rPr>
        <w:t xml:space="preserve">For each inquiry-based science kit, there is a final section to allow time for reflection after reviewing the student and teacher data for the kit. A few question prompts are provided to direct the reflection. These can be used in small group discussions with teachers as part of the </w:t>
      </w:r>
      <w:r w:rsidR="002745A0">
        <w:rPr>
          <w:rFonts w:ascii="Times New Roman" w:hAnsi="Times New Roman" w:cs="Times New Roman"/>
          <w:sz w:val="24"/>
          <w:szCs w:val="24"/>
        </w:rPr>
        <w:t>science coach</w:t>
      </w:r>
      <w:r w:rsidR="00DA3EFA">
        <w:rPr>
          <w:rFonts w:ascii="Times New Roman" w:hAnsi="Times New Roman" w:cs="Times New Roman"/>
          <w:sz w:val="24"/>
          <w:szCs w:val="24"/>
        </w:rPr>
        <w:t>_</w:t>
      </w:r>
      <w:r>
        <w:rPr>
          <w:rFonts w:ascii="Times New Roman" w:hAnsi="Times New Roman" w:cs="Times New Roman"/>
          <w:sz w:val="24"/>
          <w:szCs w:val="24"/>
        </w:rPr>
        <w:t xml:space="preserve"> support during the year. </w:t>
      </w:r>
    </w:p>
    <w:p w:rsidR="00401DA1" w:rsidRDefault="00401DA1" w:rsidP="00401DA1">
      <w:pPr>
        <w:rPr>
          <w:rStyle w:val="Emphasis"/>
          <w:rFonts w:ascii="Times New Roman" w:hAnsi="Times New Roman" w:cs="Times New Roman"/>
          <w:b w:val="0"/>
          <w:sz w:val="24"/>
          <w:szCs w:val="24"/>
        </w:rPr>
      </w:pPr>
      <w:r w:rsidRPr="005C40FE">
        <w:rPr>
          <w:rStyle w:val="Emphasis"/>
          <w:rFonts w:ascii="Times New Roman" w:hAnsi="Times New Roman" w:cs="Times New Roman"/>
          <w:sz w:val="24"/>
          <w:szCs w:val="24"/>
        </w:rPr>
        <w:t xml:space="preserve">1. Take a </w:t>
      </w:r>
      <w:r w:rsidR="00C17244">
        <w:rPr>
          <w:rStyle w:val="Emphasis"/>
          <w:rFonts w:ascii="Times New Roman" w:hAnsi="Times New Roman" w:cs="Times New Roman"/>
          <w:sz w:val="24"/>
          <w:szCs w:val="24"/>
        </w:rPr>
        <w:t>look at item Se 68</w:t>
      </w:r>
      <w:r>
        <w:rPr>
          <w:rStyle w:val="Emphasis"/>
          <w:rFonts w:ascii="Times New Roman" w:hAnsi="Times New Roman" w:cs="Times New Roman"/>
          <w:sz w:val="24"/>
          <w:szCs w:val="24"/>
        </w:rPr>
        <w:t xml:space="preserve">. This item had a small effect </w:t>
      </w:r>
      <w:r w:rsidR="00C17244">
        <w:rPr>
          <w:rStyle w:val="Emphasis"/>
          <w:rFonts w:ascii="Times New Roman" w:hAnsi="Times New Roman" w:cs="Times New Roman"/>
          <w:sz w:val="24"/>
          <w:szCs w:val="24"/>
        </w:rPr>
        <w:t xml:space="preserve">for </w:t>
      </w:r>
      <w:r>
        <w:rPr>
          <w:rStyle w:val="Emphasis"/>
          <w:rFonts w:ascii="Times New Roman" w:hAnsi="Times New Roman" w:cs="Times New Roman"/>
          <w:sz w:val="24"/>
          <w:szCs w:val="24"/>
        </w:rPr>
        <w:t>teachers. What makes this item difficult? What instructional strategies might be used to improve understanding related to this item?</w:t>
      </w:r>
    </w:p>
    <w:p w:rsidR="00FD5992" w:rsidRDefault="009232D1" w:rsidP="006A3D6E">
      <w:pPr>
        <w:rPr>
          <w:rFonts w:ascii="Times New Roman" w:hAnsi="Times New Roman"/>
          <w:szCs w:val="24"/>
        </w:rPr>
      </w:pPr>
      <w:r>
        <w:rPr>
          <w:rFonts w:ascii="Times New Roman" w:hAnsi="Times New Roman"/>
          <w:b/>
          <w:szCs w:val="24"/>
        </w:rPr>
        <w:tab/>
      </w:r>
      <w:r w:rsidR="00FD5992">
        <w:rPr>
          <w:rFonts w:ascii="Times New Roman" w:hAnsi="Times New Roman"/>
          <w:szCs w:val="24"/>
        </w:rPr>
        <w:t xml:space="preserve">For the main analysis using HLM to account for clustering of students in classrooms and </w:t>
      </w:r>
      <w:r w:rsidR="00F67DA7">
        <w:rPr>
          <w:rFonts w:ascii="Times New Roman" w:hAnsi="Times New Roman"/>
          <w:szCs w:val="24"/>
        </w:rPr>
        <w:t xml:space="preserve">student and teacher factors that might explain some of the differences in performance in the state science assessment, we provided a graphical display of the concept of how different factors at the student level and at the teacher level explain some of the variance in the student state science assessment scores. The more technical table we provided in an appendix. The figure that follows is an example of this more user friendly figure provided to better understand the findings. This figure was accompanied by text that described the teacher and student factors that were statistically significant in the model. </w:t>
      </w:r>
    </w:p>
    <w:p w:rsidR="00F67DA7" w:rsidRPr="00FD5992" w:rsidRDefault="00F67DA7" w:rsidP="006A3D6E">
      <w:pPr>
        <w:rPr>
          <w:rFonts w:ascii="Times New Roman" w:hAnsi="Times New Roman"/>
          <w:szCs w:val="24"/>
        </w:rPr>
      </w:pPr>
      <w:r w:rsidRPr="00F67DA7">
        <w:rPr>
          <w:rFonts w:ascii="Times New Roman" w:hAnsi="Times New Roman"/>
          <w:noProof/>
          <w:szCs w:val="24"/>
        </w:rPr>
        <w:lastRenderedPageBreak/>
        <w:drawing>
          <wp:inline distT="0" distB="0" distL="0" distR="0">
            <wp:extent cx="5256335" cy="2473570"/>
            <wp:effectExtent l="19050" t="0" r="146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1B69" w:rsidRPr="00161B69" w:rsidRDefault="00161B69" w:rsidP="00161B69">
      <w:pPr>
        <w:rPr>
          <w:rFonts w:ascii="Times New Roman" w:hAnsi="Times New Roman"/>
          <w:b/>
          <w:szCs w:val="24"/>
        </w:rPr>
      </w:pPr>
      <w:r w:rsidRPr="00161B69">
        <w:rPr>
          <w:rFonts w:ascii="Times New Roman" w:hAnsi="Times New Roman"/>
          <w:b/>
          <w:szCs w:val="24"/>
        </w:rPr>
        <w:t>Documenting implementation issues to improve research in subsequent years</w:t>
      </w:r>
    </w:p>
    <w:p w:rsidR="006A3D6E" w:rsidRDefault="006A3D6E" w:rsidP="00891819">
      <w:pPr>
        <w:rPr>
          <w:rFonts w:ascii="Times New Roman" w:hAnsi="Times New Roman"/>
          <w:szCs w:val="24"/>
        </w:rPr>
      </w:pPr>
      <w:r>
        <w:rPr>
          <w:rFonts w:ascii="Times New Roman" w:hAnsi="Times New Roman"/>
          <w:b/>
          <w:szCs w:val="24"/>
        </w:rPr>
        <w:tab/>
      </w:r>
      <w:r w:rsidR="00161B69">
        <w:rPr>
          <w:rFonts w:ascii="Times New Roman" w:hAnsi="Times New Roman"/>
          <w:szCs w:val="24"/>
        </w:rPr>
        <w:t>W</w:t>
      </w:r>
      <w:r>
        <w:rPr>
          <w:rFonts w:ascii="Times New Roman" w:hAnsi="Times New Roman"/>
          <w:szCs w:val="24"/>
        </w:rPr>
        <w:t xml:space="preserve">eekly or biweekly conference calls </w:t>
      </w:r>
      <w:r w:rsidR="00161B69">
        <w:rPr>
          <w:rFonts w:ascii="Times New Roman" w:hAnsi="Times New Roman"/>
          <w:szCs w:val="24"/>
        </w:rPr>
        <w:t xml:space="preserve">were held </w:t>
      </w:r>
      <w:r>
        <w:rPr>
          <w:rFonts w:ascii="Times New Roman" w:hAnsi="Times New Roman"/>
          <w:szCs w:val="24"/>
        </w:rPr>
        <w:t>with the project leader to better understand implementation and data collection issues. It was important to provide a detailed agenda with an opportunity for the project leader to provide updates on whether the project was on schedule</w:t>
      </w:r>
      <w:r w:rsidR="00B8110D">
        <w:rPr>
          <w:rFonts w:ascii="Times New Roman" w:hAnsi="Times New Roman"/>
          <w:szCs w:val="24"/>
        </w:rPr>
        <w:t xml:space="preserve"> and</w:t>
      </w:r>
      <w:r>
        <w:rPr>
          <w:rFonts w:ascii="Times New Roman" w:hAnsi="Times New Roman"/>
          <w:szCs w:val="24"/>
        </w:rPr>
        <w:t xml:space="preserve"> to provide us with data</w:t>
      </w:r>
      <w:r w:rsidR="00B8110D">
        <w:rPr>
          <w:rFonts w:ascii="Times New Roman" w:hAnsi="Times New Roman"/>
          <w:szCs w:val="24"/>
        </w:rPr>
        <w:t>;</w:t>
      </w:r>
      <w:r>
        <w:rPr>
          <w:rFonts w:ascii="Times New Roman" w:hAnsi="Times New Roman"/>
          <w:szCs w:val="24"/>
        </w:rPr>
        <w:t xml:space="preserve"> </w:t>
      </w:r>
      <w:r w:rsidR="00B8110D">
        <w:rPr>
          <w:rFonts w:ascii="Times New Roman" w:hAnsi="Times New Roman"/>
          <w:szCs w:val="24"/>
        </w:rPr>
        <w:t>in addition,</w:t>
      </w:r>
      <w:r>
        <w:rPr>
          <w:rFonts w:ascii="Times New Roman" w:hAnsi="Times New Roman"/>
          <w:szCs w:val="24"/>
        </w:rPr>
        <w:t xml:space="preserve"> we provided updates on where we were at with our schedule of </w:t>
      </w:r>
      <w:r w:rsidR="00B8110D">
        <w:rPr>
          <w:rFonts w:ascii="Times New Roman" w:hAnsi="Times New Roman"/>
          <w:szCs w:val="24"/>
        </w:rPr>
        <w:t xml:space="preserve">evaluation </w:t>
      </w:r>
      <w:r>
        <w:rPr>
          <w:rFonts w:ascii="Times New Roman" w:hAnsi="Times New Roman"/>
          <w:szCs w:val="24"/>
        </w:rPr>
        <w:t>deliverables. Th</w:t>
      </w:r>
      <w:r w:rsidR="00B8110D">
        <w:rPr>
          <w:rFonts w:ascii="Times New Roman" w:hAnsi="Times New Roman"/>
          <w:szCs w:val="24"/>
        </w:rPr>
        <w:t>is communication</w:t>
      </w:r>
      <w:r>
        <w:rPr>
          <w:rFonts w:ascii="Times New Roman" w:hAnsi="Times New Roman"/>
          <w:szCs w:val="24"/>
        </w:rPr>
        <w:t xml:space="preserve"> ensured advance notice of any delays and allowed for planning of longer periods of data analysis and report writing as needed. </w:t>
      </w:r>
    </w:p>
    <w:p w:rsidR="00D76C82" w:rsidRDefault="00D76C82" w:rsidP="00891819">
      <w:pPr>
        <w:rPr>
          <w:rFonts w:ascii="Times New Roman" w:hAnsi="Times New Roman"/>
          <w:szCs w:val="24"/>
        </w:rPr>
      </w:pPr>
      <w:r>
        <w:rPr>
          <w:rFonts w:ascii="Times New Roman" w:hAnsi="Times New Roman"/>
          <w:szCs w:val="24"/>
        </w:rPr>
        <w:tab/>
        <w:t xml:space="preserve">We also set up, as part of the statement of work, a plan for interim reports prior to the end of year final evaluation. A teacher assessment performance report summarized the performance of teachers on the kit assessment before and after </w:t>
      </w:r>
      <w:r w:rsidR="00C50C63">
        <w:rPr>
          <w:rFonts w:ascii="Times New Roman" w:hAnsi="Times New Roman"/>
          <w:szCs w:val="24"/>
        </w:rPr>
        <w:t>PD</w:t>
      </w:r>
      <w:r>
        <w:rPr>
          <w:rFonts w:ascii="Times New Roman" w:hAnsi="Times New Roman"/>
          <w:szCs w:val="24"/>
        </w:rPr>
        <w:t>. Next</w:t>
      </w:r>
      <w:r w:rsidR="00B8110D">
        <w:rPr>
          <w:rFonts w:ascii="Times New Roman" w:hAnsi="Times New Roman"/>
          <w:szCs w:val="24"/>
        </w:rPr>
        <w:t>,</w:t>
      </w:r>
      <w:r>
        <w:rPr>
          <w:rFonts w:ascii="Times New Roman" w:hAnsi="Times New Roman"/>
          <w:szCs w:val="24"/>
        </w:rPr>
        <w:t xml:space="preserve"> a student and teacher demographics report was provided based on the data collected from schools. </w:t>
      </w:r>
      <w:r w:rsidR="00C17244">
        <w:rPr>
          <w:rFonts w:ascii="Times New Roman" w:hAnsi="Times New Roman"/>
          <w:szCs w:val="24"/>
        </w:rPr>
        <w:t>Fall</w:t>
      </w:r>
      <w:r>
        <w:rPr>
          <w:rFonts w:ascii="Times New Roman" w:hAnsi="Times New Roman"/>
          <w:szCs w:val="24"/>
        </w:rPr>
        <w:t xml:space="preserve"> and spring student performance report were provided with detailed overviews of the performance by kit, by district, and by classroom. These reports informed the work of the Science Coaches with the teachers and informed the project leaders and the funder’s board of the progress of teachers and students in the project.</w:t>
      </w:r>
    </w:p>
    <w:p w:rsidR="00940E70" w:rsidRDefault="00940E70" w:rsidP="00891819">
      <w:pPr>
        <w:rPr>
          <w:rFonts w:ascii="Times New Roman" w:hAnsi="Times New Roman"/>
          <w:szCs w:val="24"/>
        </w:rPr>
      </w:pPr>
      <w:r>
        <w:rPr>
          <w:rFonts w:ascii="Times New Roman" w:hAnsi="Times New Roman"/>
          <w:szCs w:val="24"/>
        </w:rPr>
        <w:tab/>
        <w:t xml:space="preserve">Another reason for the importance of communication was periodic updates related to implementation that could bias the findings. </w:t>
      </w:r>
      <w:r w:rsidR="00C17244">
        <w:rPr>
          <w:rFonts w:ascii="Times New Roman" w:hAnsi="Times New Roman"/>
          <w:szCs w:val="24"/>
        </w:rPr>
        <w:t>For example, an implementation issue</w:t>
      </w:r>
      <w:r>
        <w:rPr>
          <w:rFonts w:ascii="Times New Roman" w:hAnsi="Times New Roman"/>
          <w:szCs w:val="24"/>
        </w:rPr>
        <w:t xml:space="preserve"> was when the project leader explained that </w:t>
      </w:r>
      <w:r w:rsidR="00C17244">
        <w:rPr>
          <w:rFonts w:ascii="Times New Roman" w:hAnsi="Times New Roman"/>
          <w:szCs w:val="24"/>
        </w:rPr>
        <w:t xml:space="preserve">one of the observations was </w:t>
      </w:r>
      <w:r>
        <w:rPr>
          <w:rFonts w:ascii="Times New Roman" w:hAnsi="Times New Roman"/>
          <w:szCs w:val="24"/>
        </w:rPr>
        <w:t xml:space="preserve">conducted after the teacher had completed the kit, so the observation was of the traditional curriculum. </w:t>
      </w:r>
      <w:r w:rsidR="00B8110D">
        <w:rPr>
          <w:rFonts w:ascii="Times New Roman" w:hAnsi="Times New Roman"/>
          <w:szCs w:val="24"/>
        </w:rPr>
        <w:t>In response to this update</w:t>
      </w:r>
      <w:r>
        <w:rPr>
          <w:rFonts w:ascii="Times New Roman" w:hAnsi="Times New Roman"/>
          <w:szCs w:val="24"/>
        </w:rPr>
        <w:t>, we removed this data from the analysis, since the focus was to be on in</w:t>
      </w:r>
      <w:r w:rsidR="00B8110D">
        <w:rPr>
          <w:rFonts w:ascii="Times New Roman" w:hAnsi="Times New Roman"/>
          <w:szCs w:val="24"/>
        </w:rPr>
        <w:t>-</w:t>
      </w:r>
      <w:r>
        <w:rPr>
          <w:rFonts w:ascii="Times New Roman" w:hAnsi="Times New Roman"/>
          <w:szCs w:val="24"/>
        </w:rPr>
        <w:t>class implementation of the inquiry-science kit curriculum and instruction.</w:t>
      </w:r>
      <w:r w:rsidR="004F370B">
        <w:rPr>
          <w:rFonts w:ascii="Times New Roman" w:hAnsi="Times New Roman"/>
          <w:szCs w:val="24"/>
        </w:rPr>
        <w:t xml:space="preserve"> </w:t>
      </w:r>
      <w:r w:rsidR="00B8110D">
        <w:rPr>
          <w:rFonts w:ascii="Times New Roman" w:hAnsi="Times New Roman"/>
          <w:szCs w:val="24"/>
        </w:rPr>
        <w:t>In essence</w:t>
      </w:r>
      <w:r w:rsidR="004F370B">
        <w:rPr>
          <w:rFonts w:ascii="Times New Roman" w:hAnsi="Times New Roman"/>
          <w:szCs w:val="24"/>
        </w:rPr>
        <w:t>, the evaluation benefited from this kind of open communication with the client.</w:t>
      </w:r>
    </w:p>
    <w:p w:rsidR="00D76C82" w:rsidRDefault="00D76C82" w:rsidP="00891819">
      <w:pPr>
        <w:rPr>
          <w:rFonts w:ascii="Times New Roman" w:hAnsi="Times New Roman"/>
          <w:szCs w:val="24"/>
        </w:rPr>
      </w:pPr>
      <w:r>
        <w:rPr>
          <w:rFonts w:ascii="Times New Roman" w:hAnsi="Times New Roman"/>
          <w:szCs w:val="24"/>
        </w:rPr>
        <w:tab/>
        <w:t xml:space="preserve">In addition, we provided recommendations for future years of the project in terms of improving data collection, adding rigor to the evaluation design, and improving data accuracy and data management. We </w:t>
      </w:r>
      <w:r w:rsidR="001F1074">
        <w:rPr>
          <w:rFonts w:ascii="Times New Roman" w:hAnsi="Times New Roman"/>
          <w:szCs w:val="24"/>
        </w:rPr>
        <w:t xml:space="preserve">held </w:t>
      </w:r>
      <w:r>
        <w:rPr>
          <w:rFonts w:ascii="Times New Roman" w:hAnsi="Times New Roman"/>
          <w:szCs w:val="24"/>
        </w:rPr>
        <w:t xml:space="preserve">conference </w:t>
      </w:r>
      <w:r w:rsidR="001F1074">
        <w:rPr>
          <w:rFonts w:ascii="Times New Roman" w:hAnsi="Times New Roman"/>
          <w:szCs w:val="24"/>
        </w:rPr>
        <w:t xml:space="preserve">calls </w:t>
      </w:r>
      <w:r>
        <w:rPr>
          <w:rFonts w:ascii="Times New Roman" w:hAnsi="Times New Roman"/>
          <w:szCs w:val="24"/>
        </w:rPr>
        <w:t xml:space="preserve">with the client about these recommendations asking the client to make decisions about changes to the year 2 program that were feasible and those that would need further consideration. Based on this information, we designed a plan for evaluation for the second year of the program. </w:t>
      </w:r>
    </w:p>
    <w:p w:rsidR="00FD5992" w:rsidRPr="00161B69" w:rsidRDefault="00702939" w:rsidP="00891819">
      <w:pPr>
        <w:rPr>
          <w:rFonts w:ascii="Times New Roman" w:hAnsi="Times New Roman"/>
          <w:szCs w:val="24"/>
        </w:rPr>
      </w:pPr>
      <w:r>
        <w:rPr>
          <w:rFonts w:ascii="Times New Roman" w:hAnsi="Times New Roman"/>
          <w:szCs w:val="24"/>
        </w:rPr>
        <w:tab/>
        <w:t xml:space="preserve">These communication efforts helped the client feel that we were on top of issues that needed to be addressed. It also gave them confidence in our ability as researchers to improve on the study design. </w:t>
      </w:r>
      <w:r w:rsidR="00D01368">
        <w:rPr>
          <w:rFonts w:ascii="Times New Roman" w:hAnsi="Times New Roman"/>
          <w:szCs w:val="24"/>
        </w:rPr>
        <w:t xml:space="preserve">The </w:t>
      </w:r>
      <w:r w:rsidR="00D01368">
        <w:rPr>
          <w:rFonts w:ascii="Times New Roman" w:hAnsi="Times New Roman"/>
          <w:szCs w:val="24"/>
        </w:rPr>
        <w:lastRenderedPageBreak/>
        <w:t>interim reports allowed them to see the progress and get additional funding to begin scale-up of the program.</w:t>
      </w:r>
    </w:p>
    <w:p w:rsidR="00401DA1" w:rsidRDefault="00401DA1" w:rsidP="00891819">
      <w:pPr>
        <w:rPr>
          <w:rFonts w:ascii="Times New Roman" w:hAnsi="Times New Roman"/>
          <w:b/>
          <w:szCs w:val="24"/>
        </w:rPr>
      </w:pPr>
      <w:r>
        <w:rPr>
          <w:rFonts w:ascii="Times New Roman" w:hAnsi="Times New Roman"/>
          <w:b/>
          <w:szCs w:val="24"/>
        </w:rPr>
        <w:t xml:space="preserve">Improving </w:t>
      </w:r>
      <w:r w:rsidR="00161B69">
        <w:rPr>
          <w:rFonts w:ascii="Times New Roman" w:hAnsi="Times New Roman"/>
          <w:b/>
          <w:szCs w:val="24"/>
        </w:rPr>
        <w:t>on-</w:t>
      </w:r>
      <w:r w:rsidR="00AD2816">
        <w:rPr>
          <w:rFonts w:ascii="Times New Roman" w:hAnsi="Times New Roman"/>
          <w:b/>
          <w:szCs w:val="24"/>
        </w:rPr>
        <w:t>time delivery of work</w:t>
      </w:r>
      <w:r>
        <w:rPr>
          <w:rFonts w:ascii="Times New Roman" w:hAnsi="Times New Roman"/>
          <w:b/>
          <w:szCs w:val="24"/>
        </w:rPr>
        <w:t xml:space="preserve"> through project management</w:t>
      </w:r>
    </w:p>
    <w:p w:rsidR="00891819" w:rsidRDefault="00C84D60" w:rsidP="00891819">
      <w:pPr>
        <w:ind w:firstLine="720"/>
        <w:rPr>
          <w:rFonts w:ascii="Times New Roman" w:hAnsi="Times New Roman"/>
          <w:szCs w:val="24"/>
        </w:rPr>
      </w:pPr>
      <w:r>
        <w:rPr>
          <w:rFonts w:ascii="Times New Roman" w:hAnsi="Times New Roman"/>
          <w:szCs w:val="24"/>
        </w:rPr>
        <w:t xml:space="preserve">The original statement of work included hard dates for deliverables based on exact dates for receipt of data. Unfortunately, data was never received by the date in the statement of work, putting pressure on us to provide the analysis and report of findings quicker than anticipated. The project manager worked with the client to amend the statement of work </w:t>
      </w:r>
      <w:r w:rsidR="00AD2816">
        <w:rPr>
          <w:rFonts w:ascii="Times New Roman" w:hAnsi="Times New Roman"/>
          <w:szCs w:val="24"/>
        </w:rPr>
        <w:t xml:space="preserve">to allow for more flexible deliverable deadlines within 20 business days following receipt of data to allow for sufficient time for analysis and reporting when data did not arrive on time. </w:t>
      </w:r>
    </w:p>
    <w:p w:rsidR="008C05A5" w:rsidRDefault="008C05A5"/>
    <w:sectPr w:rsidR="008C05A5" w:rsidSect="006B33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86" w:rsidRDefault="00545686" w:rsidP="00401DA1">
      <w:pPr>
        <w:spacing w:after="0" w:line="240" w:lineRule="auto"/>
      </w:pPr>
      <w:r>
        <w:separator/>
      </w:r>
    </w:p>
  </w:endnote>
  <w:endnote w:type="continuationSeparator" w:id="0">
    <w:p w:rsidR="00545686" w:rsidRDefault="00545686" w:rsidP="00401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86" w:rsidRDefault="00545686" w:rsidP="00401DA1">
      <w:pPr>
        <w:spacing w:after="0" w:line="240" w:lineRule="auto"/>
      </w:pPr>
      <w:r>
        <w:separator/>
      </w:r>
    </w:p>
  </w:footnote>
  <w:footnote w:type="continuationSeparator" w:id="0">
    <w:p w:rsidR="00545686" w:rsidRDefault="00545686" w:rsidP="00401DA1">
      <w:pPr>
        <w:spacing w:after="0" w:line="240" w:lineRule="auto"/>
      </w:pPr>
      <w:r>
        <w:continuationSeparator/>
      </w:r>
    </w:p>
  </w:footnote>
  <w:footnote w:id="1">
    <w:p w:rsidR="00B8110D" w:rsidRDefault="00B8110D" w:rsidP="00401DA1">
      <w:pPr>
        <w:pStyle w:val="FootnoteText"/>
      </w:pPr>
      <w:r w:rsidRPr="00CC2D73">
        <w:rPr>
          <w:vertAlign w:val="superscript"/>
        </w:rPr>
        <w:footnoteRef/>
      </w:r>
      <w:r w:rsidRPr="004C0E9C">
        <w:t xml:space="preserve"> See </w:t>
      </w:r>
      <w:hyperlink r:id="rId1" w:history="1">
        <w:r w:rsidRPr="00C64266">
          <w:rPr>
            <w:rStyle w:val="Hyperlink"/>
            <w:sz w:val="18"/>
          </w:rPr>
          <w:t>http://lawrencehallofscience.org/foss/introduction/index.html</w:t>
        </w:r>
      </w:hyperlink>
    </w:p>
  </w:footnote>
  <w:footnote w:id="2">
    <w:p w:rsidR="00B8110D" w:rsidRDefault="00B8110D" w:rsidP="00401DA1">
      <w:pPr>
        <w:pStyle w:val="FootnoteText"/>
      </w:pPr>
      <w:r w:rsidRPr="00F578E2">
        <w:rPr>
          <w:rStyle w:val="FootnoteReference"/>
          <w:sz w:val="18"/>
        </w:rPr>
        <w:footnoteRef/>
      </w:r>
      <w:r w:rsidRPr="00F578E2">
        <w:rPr>
          <w:sz w:val="18"/>
        </w:rPr>
        <w:t xml:space="preserve"> </w:t>
      </w:r>
      <w:r w:rsidRPr="00F578E2">
        <w:rPr>
          <w:color w:val="000000"/>
          <w:sz w:val="18"/>
        </w:rPr>
        <w:t xml:space="preserve">NSRC launched Science and Technology for Children BOOKS™ to add a much-requested literacy component to its popular curriculum for elementary students. Each book is designed to be used in conjunction with teaching the STC unit of the same name or as a stand-alone resource that conveys topics in a way that makes science interesting and relevant. </w:t>
      </w:r>
      <w:r>
        <w:rPr>
          <w:color w:val="000000"/>
          <w:sz w:val="18"/>
        </w:rPr>
        <w:t>See</w:t>
      </w:r>
      <w:r w:rsidRPr="00F578E2">
        <w:rPr>
          <w:color w:val="000000"/>
          <w:sz w:val="18"/>
        </w:rPr>
        <w:t xml:space="preserve"> </w:t>
      </w:r>
      <w:hyperlink r:id="rId2" w:history="1">
        <w:r w:rsidRPr="00C64266">
          <w:rPr>
            <w:rStyle w:val="Hyperlink"/>
            <w:sz w:val="18"/>
          </w:rPr>
          <w:t>http://www.nsrconline.org/curriculum_resources/science_readers.html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4168B"/>
    <w:multiLevelType w:val="hybridMultilevel"/>
    <w:tmpl w:val="FA50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823B9"/>
    <w:multiLevelType w:val="hybridMultilevel"/>
    <w:tmpl w:val="49000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05A5"/>
    <w:rsid w:val="00024B6C"/>
    <w:rsid w:val="000343E1"/>
    <w:rsid w:val="00111C11"/>
    <w:rsid w:val="00161B69"/>
    <w:rsid w:val="001F1074"/>
    <w:rsid w:val="002745A0"/>
    <w:rsid w:val="0030374E"/>
    <w:rsid w:val="00401DA1"/>
    <w:rsid w:val="00487A64"/>
    <w:rsid w:val="004F370B"/>
    <w:rsid w:val="005134D8"/>
    <w:rsid w:val="00545686"/>
    <w:rsid w:val="005A322F"/>
    <w:rsid w:val="00644F4B"/>
    <w:rsid w:val="006A3D6E"/>
    <w:rsid w:val="006B33F0"/>
    <w:rsid w:val="006C10AB"/>
    <w:rsid w:val="006D0000"/>
    <w:rsid w:val="00702939"/>
    <w:rsid w:val="00861A8A"/>
    <w:rsid w:val="00891819"/>
    <w:rsid w:val="008C05A5"/>
    <w:rsid w:val="008C2323"/>
    <w:rsid w:val="008E1461"/>
    <w:rsid w:val="009232D1"/>
    <w:rsid w:val="00940E70"/>
    <w:rsid w:val="009B69BA"/>
    <w:rsid w:val="00A80DDE"/>
    <w:rsid w:val="00AD0881"/>
    <w:rsid w:val="00AD2816"/>
    <w:rsid w:val="00B8110D"/>
    <w:rsid w:val="00C14BA2"/>
    <w:rsid w:val="00C17244"/>
    <w:rsid w:val="00C50C63"/>
    <w:rsid w:val="00C84D60"/>
    <w:rsid w:val="00CE1864"/>
    <w:rsid w:val="00CE22DD"/>
    <w:rsid w:val="00CF1CEB"/>
    <w:rsid w:val="00D01368"/>
    <w:rsid w:val="00D76C82"/>
    <w:rsid w:val="00DA3EFA"/>
    <w:rsid w:val="00E7430B"/>
    <w:rsid w:val="00E85F67"/>
    <w:rsid w:val="00ED6C87"/>
    <w:rsid w:val="00F323C4"/>
    <w:rsid w:val="00F67DA7"/>
    <w:rsid w:val="00FD5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F0"/>
  </w:style>
  <w:style w:type="paragraph" w:styleId="Heading1">
    <w:name w:val="heading 1"/>
    <w:basedOn w:val="Normal"/>
    <w:next w:val="Normal"/>
    <w:link w:val="Heading1Char"/>
    <w:uiPriority w:val="9"/>
    <w:qFormat/>
    <w:rsid w:val="00401DA1"/>
    <w:pPr>
      <w:spacing w:after="0" w:line="240" w:lineRule="auto"/>
      <w:contextualSpacing/>
      <w:outlineLvl w:val="0"/>
    </w:pPr>
    <w:rPr>
      <w:rFonts w:asciiTheme="majorHAnsi" w:eastAsiaTheme="majorEastAsia" w:hAnsiTheme="majorHAnsi" w:cstheme="majorBidi"/>
      <w:smallCaps/>
      <w:spacing w:val="5"/>
      <w:sz w:val="36"/>
      <w:szCs w:val="36"/>
      <w:lang w:bidi="en-US"/>
    </w:rPr>
  </w:style>
  <w:style w:type="paragraph" w:styleId="Heading2">
    <w:name w:val="heading 2"/>
    <w:basedOn w:val="Normal"/>
    <w:next w:val="Normal"/>
    <w:link w:val="Heading2Char"/>
    <w:uiPriority w:val="9"/>
    <w:unhideWhenUsed/>
    <w:qFormat/>
    <w:rsid w:val="00401DA1"/>
    <w:pPr>
      <w:spacing w:before="200" w:after="240" w:line="271" w:lineRule="auto"/>
      <w:outlineLvl w:val="1"/>
    </w:pPr>
    <w:rPr>
      <w:rFonts w:asciiTheme="majorHAnsi" w:eastAsiaTheme="majorEastAsia" w:hAnsiTheme="majorHAnsi" w:cstheme="majorBidi"/>
      <w:smallCap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1">
    <w:name w:val="A3+1"/>
    <w:uiPriority w:val="99"/>
    <w:rsid w:val="00891819"/>
    <w:rPr>
      <w:color w:val="000000"/>
      <w:sz w:val="22"/>
    </w:rPr>
  </w:style>
  <w:style w:type="character" w:styleId="Hyperlink">
    <w:name w:val="Hyperlink"/>
    <w:basedOn w:val="DefaultParagraphFont"/>
    <w:uiPriority w:val="99"/>
    <w:rsid w:val="00401DA1"/>
    <w:rPr>
      <w:rFonts w:cs="Times New Roman"/>
      <w:color w:val="0000FF"/>
      <w:u w:val="single"/>
    </w:rPr>
  </w:style>
  <w:style w:type="paragraph" w:styleId="FootnoteText">
    <w:name w:val="footnote text"/>
    <w:basedOn w:val="Normal"/>
    <w:link w:val="FootnoteTextChar"/>
    <w:uiPriority w:val="99"/>
    <w:rsid w:val="00401D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01DA1"/>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01DA1"/>
    <w:rPr>
      <w:rFonts w:cs="Times New Roman"/>
      <w:vertAlign w:val="superscript"/>
    </w:rPr>
  </w:style>
  <w:style w:type="character" w:customStyle="1" w:styleId="Heading1Char">
    <w:name w:val="Heading 1 Char"/>
    <w:basedOn w:val="DefaultParagraphFont"/>
    <w:link w:val="Heading1"/>
    <w:uiPriority w:val="9"/>
    <w:rsid w:val="00401DA1"/>
    <w:rPr>
      <w:rFonts w:asciiTheme="majorHAnsi" w:eastAsiaTheme="majorEastAsia" w:hAnsiTheme="majorHAnsi" w:cstheme="majorBidi"/>
      <w:smallCaps/>
      <w:spacing w:val="5"/>
      <w:sz w:val="36"/>
      <w:szCs w:val="36"/>
      <w:lang w:bidi="en-US"/>
    </w:rPr>
  </w:style>
  <w:style w:type="character" w:customStyle="1" w:styleId="Heading2Char">
    <w:name w:val="Heading 2 Char"/>
    <w:basedOn w:val="DefaultParagraphFont"/>
    <w:link w:val="Heading2"/>
    <w:uiPriority w:val="9"/>
    <w:rsid w:val="00401DA1"/>
    <w:rPr>
      <w:rFonts w:asciiTheme="majorHAnsi" w:eastAsiaTheme="majorEastAsia" w:hAnsiTheme="majorHAnsi" w:cstheme="majorBidi"/>
      <w:smallCaps/>
      <w:sz w:val="28"/>
      <w:szCs w:val="28"/>
      <w:lang w:bidi="en-US"/>
    </w:rPr>
  </w:style>
  <w:style w:type="table" w:styleId="TableGrid">
    <w:name w:val="Table Grid"/>
    <w:basedOn w:val="TableNormal"/>
    <w:uiPriority w:val="59"/>
    <w:rsid w:val="00401DA1"/>
    <w:rPr>
      <w:rFonts w:ascii="Times New Roman" w:eastAsia="Times New Roman" w:hAnsi="Times New Roman" w:cstheme="majorBid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401DA1"/>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401DA1"/>
    <w:rPr>
      <w:rFonts w:asciiTheme="majorHAnsi" w:eastAsiaTheme="majorEastAsia" w:hAnsiTheme="majorHAnsi" w:cstheme="majorBidi"/>
      <w:lang w:bidi="en-US"/>
    </w:rPr>
  </w:style>
  <w:style w:type="paragraph" w:customStyle="1" w:styleId="Default">
    <w:name w:val="Default"/>
    <w:rsid w:val="00401DA1"/>
    <w:pPr>
      <w:autoSpaceDE w:val="0"/>
      <w:autoSpaceDN w:val="0"/>
      <w:adjustRightInd w:val="0"/>
    </w:pPr>
    <w:rPr>
      <w:rFonts w:ascii="Palatino Linotype" w:eastAsiaTheme="majorEastAsia" w:hAnsi="Palatino Linotype" w:cs="Palatino Linotype"/>
      <w:color w:val="000000"/>
      <w:sz w:val="24"/>
      <w:szCs w:val="24"/>
      <w:lang w:bidi="en-US"/>
    </w:rPr>
  </w:style>
  <w:style w:type="character" w:styleId="Emphasis">
    <w:name w:val="Emphasis"/>
    <w:uiPriority w:val="20"/>
    <w:qFormat/>
    <w:rsid w:val="00401DA1"/>
    <w:rPr>
      <w:b/>
      <w:bCs/>
      <w:i/>
      <w:iCs/>
      <w:spacing w:val="10"/>
    </w:rPr>
  </w:style>
  <w:style w:type="paragraph" w:styleId="Caption">
    <w:name w:val="caption"/>
    <w:basedOn w:val="Normal"/>
    <w:next w:val="Normal"/>
    <w:uiPriority w:val="35"/>
    <w:unhideWhenUsed/>
    <w:qFormat/>
    <w:rsid w:val="009B69BA"/>
    <w:pPr>
      <w:spacing w:after="0"/>
      <w:jc w:val="center"/>
    </w:pPr>
    <w:rPr>
      <w:rFonts w:asciiTheme="majorHAnsi" w:eastAsiaTheme="majorEastAsia" w:hAnsiTheme="majorHAnsi" w:cstheme="majorBidi"/>
      <w:b/>
      <w:bCs/>
      <w:caps/>
      <w:sz w:val="24"/>
      <w:szCs w:val="18"/>
      <w:lang w:bidi="en-US"/>
    </w:rPr>
  </w:style>
  <w:style w:type="character" w:customStyle="1" w:styleId="Instruction1">
    <w:name w:val="Instruction 1"/>
    <w:basedOn w:val="DefaultParagraphFont"/>
    <w:rsid w:val="00F323C4"/>
    <w:rPr>
      <w:rFonts w:ascii="Verdana" w:hAnsi="Verdana"/>
      <w:color w:val="666699"/>
      <w:sz w:val="20"/>
    </w:rPr>
  </w:style>
  <w:style w:type="paragraph" w:customStyle="1" w:styleId="Style1">
    <w:name w:val="Style1"/>
    <w:basedOn w:val="Normal"/>
    <w:autoRedefine/>
    <w:rsid w:val="00C17244"/>
    <w:rPr>
      <w:rFonts w:asciiTheme="majorHAnsi" w:eastAsiaTheme="majorEastAsia" w:hAnsiTheme="majorHAnsi" w:cstheme="majorBidi"/>
      <w:b/>
      <w:bCs/>
      <w:caps/>
      <w:sz w:val="24"/>
      <w:szCs w:val="24"/>
      <w:lang w:bidi="en-US"/>
    </w:rPr>
  </w:style>
  <w:style w:type="paragraph" w:styleId="BalloonText">
    <w:name w:val="Balloon Text"/>
    <w:basedOn w:val="Normal"/>
    <w:link w:val="BalloonTextChar"/>
    <w:uiPriority w:val="99"/>
    <w:semiHidden/>
    <w:unhideWhenUsed/>
    <w:rsid w:val="00F3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C4"/>
    <w:rPr>
      <w:rFonts w:ascii="Tahoma" w:hAnsi="Tahoma" w:cs="Tahoma"/>
      <w:sz w:val="16"/>
      <w:szCs w:val="16"/>
    </w:rPr>
  </w:style>
  <w:style w:type="character" w:customStyle="1" w:styleId="body1">
    <w:name w:val="body1"/>
    <w:basedOn w:val="DefaultParagraphFont"/>
    <w:rsid w:val="00F323C4"/>
    <w:rPr>
      <w:rFonts w:ascii="Verdana" w:hAnsi="Verdana" w:hint="default"/>
      <w:color w:val="2C0900"/>
      <w:sz w:val="11"/>
      <w:szCs w:val="11"/>
    </w:rPr>
  </w:style>
  <w:style w:type="character" w:styleId="CommentReference">
    <w:name w:val="annotation reference"/>
    <w:basedOn w:val="DefaultParagraphFont"/>
    <w:uiPriority w:val="99"/>
    <w:semiHidden/>
    <w:unhideWhenUsed/>
    <w:rsid w:val="00C50C63"/>
    <w:rPr>
      <w:sz w:val="16"/>
      <w:szCs w:val="16"/>
    </w:rPr>
  </w:style>
  <w:style w:type="paragraph" w:styleId="CommentText">
    <w:name w:val="annotation text"/>
    <w:basedOn w:val="Normal"/>
    <w:link w:val="CommentTextChar"/>
    <w:uiPriority w:val="99"/>
    <w:semiHidden/>
    <w:unhideWhenUsed/>
    <w:rsid w:val="00C50C63"/>
    <w:pPr>
      <w:spacing w:line="240" w:lineRule="auto"/>
    </w:pPr>
    <w:rPr>
      <w:sz w:val="20"/>
      <w:szCs w:val="20"/>
    </w:rPr>
  </w:style>
  <w:style w:type="character" w:customStyle="1" w:styleId="CommentTextChar">
    <w:name w:val="Comment Text Char"/>
    <w:basedOn w:val="DefaultParagraphFont"/>
    <w:link w:val="CommentText"/>
    <w:uiPriority w:val="99"/>
    <w:semiHidden/>
    <w:rsid w:val="00C50C63"/>
    <w:rPr>
      <w:sz w:val="20"/>
      <w:szCs w:val="20"/>
    </w:rPr>
  </w:style>
  <w:style w:type="paragraph" w:styleId="CommentSubject">
    <w:name w:val="annotation subject"/>
    <w:basedOn w:val="CommentText"/>
    <w:next w:val="CommentText"/>
    <w:link w:val="CommentSubjectChar"/>
    <w:uiPriority w:val="99"/>
    <w:semiHidden/>
    <w:unhideWhenUsed/>
    <w:rsid w:val="00C50C63"/>
    <w:rPr>
      <w:b/>
      <w:bCs/>
    </w:rPr>
  </w:style>
  <w:style w:type="character" w:customStyle="1" w:styleId="CommentSubjectChar">
    <w:name w:val="Comment Subject Char"/>
    <w:basedOn w:val="CommentTextChar"/>
    <w:link w:val="CommentSubject"/>
    <w:uiPriority w:val="99"/>
    <w:semiHidden/>
    <w:rsid w:val="00C50C63"/>
    <w:rPr>
      <w:b/>
      <w:bCs/>
    </w:rPr>
  </w:style>
  <w:style w:type="paragraph" w:styleId="ListParagraph">
    <w:name w:val="List Paragraph"/>
    <w:basedOn w:val="Normal"/>
    <w:uiPriority w:val="34"/>
    <w:qFormat/>
    <w:rsid w:val="00161B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www.nsrconline.org/curriculum_resources/science_readers.html" TargetMode="External"/><Relationship Id="rId1" Type="http://schemas.openxmlformats.org/officeDocument/2006/relationships/hyperlink" Target="http://lawrencehallofscience.org/foss/introduction/inde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100"/>
              <a:t>Percent of Total Variance in Student Science 2011 Performance Explained by Student and Teacher Factors</a:t>
            </a:r>
            <a:endParaRPr lang="en-US" sz="1100" i="1"/>
          </a:p>
        </c:rich>
      </c:tx>
      <c:layout>
        <c:manualLayout>
          <c:xMode val="edge"/>
          <c:yMode val="edge"/>
          <c:x val="0.11641015792350549"/>
          <c:y val="2.7586206896551741E-2"/>
        </c:manualLayout>
      </c:layout>
    </c:title>
    <c:view3D>
      <c:rotX val="30"/>
      <c:perspective val="30"/>
    </c:view3D>
    <c:plotArea>
      <c:layout/>
      <c:pie3DChart>
        <c:varyColors val="1"/>
        <c:ser>
          <c:idx val="0"/>
          <c:order val="0"/>
          <c:tx>
            <c:strRef>
              <c:f>Sheet1!$B$1</c:f>
              <c:strCache>
                <c:ptCount val="1"/>
                <c:pt idx="0">
                  <c:v>Percent of Total Variance in Student  Science 2011 Performance Explained</c:v>
                </c:pt>
              </c:strCache>
            </c:strRef>
          </c:tx>
          <c:dLbls>
            <c:dLbl>
              <c:idx val="1"/>
              <c:layout>
                <c:manualLayout>
                  <c:x val="5.7640347039953341E-2"/>
                  <c:y val="-0.2782714660667418"/>
                </c:manualLayout>
              </c:layout>
              <c:dLblPos val="bestFit"/>
              <c:showVal val="1"/>
            </c:dLbl>
            <c:dLbl>
              <c:idx val="2"/>
              <c:layout>
                <c:manualLayout>
                  <c:x val="7.4597115151182031E-2"/>
                  <c:y val="-0.24842112557712545"/>
                </c:manualLayout>
              </c:layout>
              <c:dLblPos val="bestFit"/>
              <c:showVal val="1"/>
            </c:dLbl>
            <c:txPr>
              <a:bodyPr/>
              <a:lstStyle/>
              <a:p>
                <a:pPr>
                  <a:defRPr sz="2400" b="1">
                    <a:solidFill>
                      <a:sysClr val="windowText" lastClr="000000"/>
                    </a:solidFill>
                    <a:latin typeface="Times New Roman" pitchFamily="18" charset="0"/>
                    <a:cs typeface="Times New Roman" pitchFamily="18" charset="0"/>
                  </a:defRPr>
                </a:pPr>
                <a:endParaRPr lang="en-US"/>
              </a:p>
            </c:txPr>
            <c:dLblPos val="ctr"/>
            <c:showVal val="1"/>
            <c:showLeaderLines val="1"/>
          </c:dLbls>
          <c:cat>
            <c:strRef>
              <c:f>Sheet1!$A$2:$A$5</c:f>
              <c:strCache>
                <c:ptCount val="4"/>
                <c:pt idx="0">
                  <c:v>Student Pretest</c:v>
                </c:pt>
                <c:pt idx="1">
                  <c:v>Other Student Factors</c:v>
                </c:pt>
                <c:pt idx="2">
                  <c:v>Teacher Factors</c:v>
                </c:pt>
                <c:pt idx="3">
                  <c:v>Unexplained</c:v>
                </c:pt>
              </c:strCache>
            </c:strRef>
          </c:cat>
          <c:val>
            <c:numRef>
              <c:f>Sheet1!$B$2:$B$5</c:f>
              <c:numCache>
                <c:formatCode>General</c:formatCode>
                <c:ptCount val="4"/>
                <c:pt idx="0">
                  <c:v>51</c:v>
                </c:pt>
                <c:pt idx="1">
                  <c:v>8</c:v>
                </c:pt>
                <c:pt idx="2">
                  <c:v>3</c:v>
                </c:pt>
                <c:pt idx="3">
                  <c:v>38</c:v>
                </c:pt>
              </c:numCache>
            </c:numRef>
          </c:val>
        </c:ser>
      </c:pie3DChart>
    </c:plotArea>
    <c:legend>
      <c:legendPos val="r"/>
      <c:layout/>
      <c:txPr>
        <a:bodyPr/>
        <a:lstStyle/>
        <a:p>
          <a:pPr>
            <a:defRPr sz="1400">
              <a:latin typeface="Times New Roman" pitchFamily="18" charset="0"/>
              <a:cs typeface="Times New Roman" pitchFamily="18"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23A8-CDF7-49B6-B5F9-25F08B70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sharris</dc:creator>
  <cp:lastModifiedBy>sharris</cp:lastModifiedBy>
  <cp:revision>2</cp:revision>
  <dcterms:created xsi:type="dcterms:W3CDTF">2011-11-03T03:24:00Z</dcterms:created>
  <dcterms:modified xsi:type="dcterms:W3CDTF">2011-11-03T03:24:00Z</dcterms:modified>
</cp:coreProperties>
</file>