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894A" w14:textId="77777777" w:rsidR="006C573D" w:rsidRDefault="00935C0E" w:rsidP="00935C0E">
      <w:pPr>
        <w:jc w:val="center"/>
        <w:rPr>
          <w:b/>
          <w:sz w:val="28"/>
          <w:szCs w:val="28"/>
        </w:rPr>
      </w:pPr>
      <w:bookmarkStart w:id="0" w:name="_GoBack"/>
      <w:bookmarkEnd w:id="0"/>
      <w:r>
        <w:rPr>
          <w:b/>
          <w:sz w:val="28"/>
          <w:szCs w:val="28"/>
        </w:rPr>
        <w:t xml:space="preserve">Evaluation </w:t>
      </w:r>
      <w:r w:rsidR="006C573D">
        <w:rPr>
          <w:b/>
          <w:sz w:val="28"/>
          <w:szCs w:val="28"/>
        </w:rPr>
        <w:t xml:space="preserve">in </w:t>
      </w:r>
      <w:r>
        <w:rPr>
          <w:b/>
          <w:sz w:val="28"/>
          <w:szCs w:val="28"/>
        </w:rPr>
        <w:t>Action</w:t>
      </w:r>
      <w:r w:rsidR="006C573D">
        <w:rPr>
          <w:b/>
          <w:sz w:val="28"/>
          <w:szCs w:val="28"/>
        </w:rPr>
        <w:t>: New York State Healthy Communities Capacity Building Initiative</w:t>
      </w:r>
    </w:p>
    <w:p w14:paraId="7513894B" w14:textId="3782001E" w:rsidR="00FB7CB8" w:rsidRDefault="00445AD8" w:rsidP="00935C0E">
      <w:pPr>
        <w:jc w:val="center"/>
        <w:rPr>
          <w:b/>
          <w:sz w:val="28"/>
          <w:szCs w:val="28"/>
        </w:rPr>
      </w:pPr>
      <w:r>
        <w:rPr>
          <w:b/>
          <w:noProof/>
          <w:sz w:val="28"/>
          <w:szCs w:val="28"/>
        </w:rPr>
        <mc:AlternateContent>
          <mc:Choice Requires="wps">
            <w:drawing>
              <wp:anchor distT="0" distB="0" distL="114300" distR="114300" simplePos="0" relativeHeight="251661824" behindDoc="0" locked="0" layoutInCell="1" allowOverlap="1" wp14:anchorId="751389D9" wp14:editId="1DFABF1A">
                <wp:simplePos x="0" y="0"/>
                <wp:positionH relativeFrom="column">
                  <wp:align>center</wp:align>
                </wp:positionH>
                <wp:positionV relativeFrom="paragraph">
                  <wp:posOffset>0</wp:posOffset>
                </wp:positionV>
                <wp:extent cx="6335395" cy="1896745"/>
                <wp:effectExtent l="9525" t="9525" r="8255" b="825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89674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751389EA" w14:textId="77777777" w:rsidR="00D15395" w:rsidRPr="00D15395" w:rsidRDefault="00FB7CB8">
                            <w:pPr>
                              <w:rPr>
                                <w:b/>
                                <w:sz w:val="24"/>
                                <w:szCs w:val="24"/>
                              </w:rPr>
                            </w:pPr>
                            <w:r w:rsidRPr="00D15395">
                              <w:rPr>
                                <w:b/>
                                <w:sz w:val="24"/>
                                <w:szCs w:val="24"/>
                              </w:rPr>
                              <w:t xml:space="preserve">The New York State Healthy Communities Capacity Building Initiative ( HCCB) was an expert training and mini-grant program </w:t>
                            </w:r>
                            <w:r w:rsidR="00D15395" w:rsidRPr="00D15395">
                              <w:rPr>
                                <w:b/>
                                <w:sz w:val="24"/>
                                <w:szCs w:val="24"/>
                              </w:rPr>
                              <w:t>administered by the New York State Department of Health to New York State Counties through their local health departments. This initiative was successful in build</w:t>
                            </w:r>
                            <w:r w:rsidR="00D15395">
                              <w:rPr>
                                <w:b/>
                                <w:sz w:val="24"/>
                                <w:szCs w:val="24"/>
                              </w:rPr>
                              <w:t>ing county level capacity to im</w:t>
                            </w:r>
                            <w:r w:rsidR="00D15395" w:rsidRPr="00D15395">
                              <w:rPr>
                                <w:b/>
                                <w:sz w:val="24"/>
                                <w:szCs w:val="24"/>
                              </w:rPr>
                              <w:t>plement policy, system and environmental changes to improve community health in 56 of 62 counties.  Two years after the start of the training opportunity, implementation of recommended policy, systems and environmental change strategies was evident in participating counties.</w:t>
                            </w:r>
                            <w:r w:rsidR="00DA6527">
                              <w:rPr>
                                <w:b/>
                                <w:sz w:val="24"/>
                                <w:szCs w:val="24"/>
                              </w:rPr>
                              <w:t xml:space="preserve"> </w:t>
                            </w:r>
                            <w:r w:rsidR="00D15395" w:rsidRPr="00D15395">
                              <w:rPr>
                                <w:b/>
                                <w:sz w:val="24"/>
                                <w:szCs w:val="24"/>
                              </w:rPr>
                              <w:t xml:space="preserve">This report describes the Healthy Communities Capacity Building Initiative and recommendations for practice based on its evaluation.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98.85pt;height:149.3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cRnwIAAEgFAAAOAAAAZHJzL2Uyb0RvYy54bWysVNuO2jAQfa/Uf7D8DiGQsBBtWG0JVJW2&#10;F2m3H2Bih1j1JbUNCV313zt2gM22L1VVHoztmZyZOXPGt3edFOjIjOVa5TgeTzBiqtSUq32Ovz5t&#10;RwuMrCOKEqEVy/GJWXy3evvmtm0yNtW1FpQZBCDKZm2T49q5JosiW9ZMEjvWDVNgrLSRxMHR7CNq&#10;SAvoUkTTyWQetdrQxuiSWQu3RW/Eq4BfVax0n6vKModEjiE3F1YT1p1fo9UtyfaGNDUvz2mQf8hC&#10;Eq4g6BWqII6gg+F/QEleGm115callpGuKl6yUANUE09+q+axJg0LtQA5trnSZP8fbPnp+MUgTnMM&#10;jVJEQoueWOfQO92hONDTNjYDr8cG/FwH99DmUKptHnT5zSKl1zVRe3ZvjG5rRiikF3tio8GnviE2&#10;sx5k137UFOKQg9MBqKuM9NwBGwjQoU2na2t8LiVczmezdLZMMSrBFi+W85skDTFIdvm8Mda9Z1oi&#10;v8mxgd4HeHJ8sM6nQ7KLi4+m9JYLEfovFGpzvEynaV+YFpx6o3ezZr9bC4OOxCso/M5x7dBNcgc6&#10;FlwCkVcnknk6NoqGKI5w0e8hE6E8OFQHuZ13vV6el5PlZrFZJKNkOt+MkklRjO6362Q038Y3aTEr&#10;1usi/unzjJOs5pQy5VO9aDdO/k4b5ynqVXdV76uSwgyya+2u69suDhL61/MRD0qFexi1M08XivwY&#10;e4jA/gA9ep19MAMZl/9ASpCPV0yvHdftOuDRy2in6QmEZHQ/zvD8wKbW5gdGLYxyju33AzEMI/FB&#10;gRiXcZL42Q+HJL2ZwsEMLbuhhagSoHLsMOq3a9e/F4fG8H0NkXoelL4HAVc8SOslKyjBH2BcQzHn&#10;p8W/B8Nz8Hp5AFe/AAAA//8DAFBLAwQUAAYACAAAACEAT4mu2N4AAAAFAQAADwAAAGRycy9kb3du&#10;cmV2LnhtbEyPQUvDQBCF74L/YRnBi9iNObhNzKaIIkLBQluh9DZNxmwwOxuz2zT+e9de9DLweI/3&#10;vikWk+3ESINvHWu4myUgiCtXt9xoeN++3M5B+IBcY+eYNHyTh0V5eVFgXrsTr2nchEbEEvY5ajAh&#10;9LmUvjJk0c9cTxy9DzdYDFEOjawHPMVy28k0Se6lxZbjgsGengxVn5uj1bA1IV0u1c3r/uttfPZI&#10;q/VOrbS+vpoeH0AEmsJfGH7xIzqUkengjlx70WmIj4TzjV6WKQXioCHN5gpkWcj/9OUPAAAA//8D&#10;AFBLAQItABQABgAIAAAAIQC2gziS/gAAAOEBAAATAAAAAAAAAAAAAAAAAAAAAABbQ29udGVudF9U&#10;eXBlc10ueG1sUEsBAi0AFAAGAAgAAAAhADj9If/WAAAAlAEAAAsAAAAAAAAAAAAAAAAALwEAAF9y&#10;ZWxzLy5yZWxzUEsBAi0AFAAGAAgAAAAhAM2yVxGfAgAASAUAAA4AAAAAAAAAAAAAAAAALgIAAGRy&#10;cy9lMm9Eb2MueG1sUEsBAi0AFAAGAAgAAAAhAE+JrtjeAAAABQEAAA8AAAAAAAAAAAAAAAAA+QQA&#10;AGRycy9kb3ducmV2LnhtbFBLBQYAAAAABAAEAPMAAAAEBgAAAAA=&#10;" filled="f" fillcolor="black [3213]">
                <v:textbox>
                  <w:txbxContent>
                    <w:p w14:paraId="751389EA" w14:textId="77777777" w:rsidR="00D15395" w:rsidRPr="00D15395" w:rsidRDefault="00FB7CB8">
                      <w:pPr>
                        <w:rPr>
                          <w:b/>
                          <w:sz w:val="24"/>
                          <w:szCs w:val="24"/>
                        </w:rPr>
                      </w:pPr>
                      <w:r w:rsidRPr="00D15395">
                        <w:rPr>
                          <w:b/>
                          <w:sz w:val="24"/>
                          <w:szCs w:val="24"/>
                        </w:rPr>
                        <w:t xml:space="preserve">The New York State Healthy Communities Capacity Building Initiative ( HCCB) was an expert training and mini-grant program </w:t>
                      </w:r>
                      <w:r w:rsidR="00D15395" w:rsidRPr="00D15395">
                        <w:rPr>
                          <w:b/>
                          <w:sz w:val="24"/>
                          <w:szCs w:val="24"/>
                        </w:rPr>
                        <w:t>administered by the New York State Department of Health to New York State Counties through their local health departments. This initiative was successful in build</w:t>
                      </w:r>
                      <w:r w:rsidR="00D15395">
                        <w:rPr>
                          <w:b/>
                          <w:sz w:val="24"/>
                          <w:szCs w:val="24"/>
                        </w:rPr>
                        <w:t>ing county level capacity to im</w:t>
                      </w:r>
                      <w:r w:rsidR="00D15395" w:rsidRPr="00D15395">
                        <w:rPr>
                          <w:b/>
                          <w:sz w:val="24"/>
                          <w:szCs w:val="24"/>
                        </w:rPr>
                        <w:t>plement policy, system and environmental changes to improve community health in 56 of 62 counties.  Two years after the start of the training opportunity, implementation of recommended policy, systems and environmental change strategies was evident in participating counties.</w:t>
                      </w:r>
                      <w:r w:rsidR="00DA6527">
                        <w:rPr>
                          <w:b/>
                          <w:sz w:val="24"/>
                          <w:szCs w:val="24"/>
                        </w:rPr>
                        <w:t xml:space="preserve"> </w:t>
                      </w:r>
                      <w:r w:rsidR="00D15395" w:rsidRPr="00D15395">
                        <w:rPr>
                          <w:b/>
                          <w:sz w:val="24"/>
                          <w:szCs w:val="24"/>
                        </w:rPr>
                        <w:t xml:space="preserve">This report describes the Healthy Communities Capacity Building Initiative and recommendations for practice based on its evaluation. </w:t>
                      </w:r>
                    </w:p>
                  </w:txbxContent>
                </v:textbox>
              </v:shape>
            </w:pict>
          </mc:Fallback>
        </mc:AlternateContent>
      </w:r>
    </w:p>
    <w:p w14:paraId="7513894C" w14:textId="77777777" w:rsidR="00FB7CB8" w:rsidRDefault="00FB7CB8" w:rsidP="00935C0E">
      <w:pPr>
        <w:jc w:val="center"/>
        <w:rPr>
          <w:b/>
          <w:sz w:val="28"/>
          <w:szCs w:val="28"/>
        </w:rPr>
      </w:pPr>
    </w:p>
    <w:p w14:paraId="7513894D" w14:textId="77777777" w:rsidR="00FB7CB8" w:rsidRDefault="00FB7CB8" w:rsidP="00935C0E">
      <w:pPr>
        <w:rPr>
          <w:b/>
          <w:sz w:val="24"/>
          <w:szCs w:val="24"/>
        </w:rPr>
      </w:pPr>
    </w:p>
    <w:p w14:paraId="7513894E" w14:textId="77777777" w:rsidR="00FB7CB8" w:rsidRDefault="00FB7CB8" w:rsidP="00935C0E">
      <w:pPr>
        <w:rPr>
          <w:b/>
          <w:sz w:val="24"/>
          <w:szCs w:val="24"/>
        </w:rPr>
      </w:pPr>
    </w:p>
    <w:p w14:paraId="7513894F" w14:textId="77777777" w:rsidR="00FB7CB8" w:rsidRDefault="00FB7CB8" w:rsidP="00935C0E">
      <w:pPr>
        <w:rPr>
          <w:b/>
          <w:sz w:val="24"/>
          <w:szCs w:val="24"/>
        </w:rPr>
      </w:pPr>
    </w:p>
    <w:p w14:paraId="75138950" w14:textId="77777777" w:rsidR="00D15395" w:rsidRDefault="00D15395" w:rsidP="00935C0E">
      <w:pPr>
        <w:rPr>
          <w:b/>
          <w:sz w:val="24"/>
          <w:szCs w:val="24"/>
        </w:rPr>
      </w:pPr>
    </w:p>
    <w:p w14:paraId="75138951" w14:textId="77777777" w:rsidR="00935C0E" w:rsidRPr="00660364" w:rsidRDefault="00D15395" w:rsidP="00935C0E">
      <w:pPr>
        <w:rPr>
          <w:sz w:val="24"/>
          <w:szCs w:val="24"/>
          <w:vertAlign w:val="superscript"/>
        </w:rPr>
      </w:pPr>
      <w:r>
        <w:rPr>
          <w:b/>
          <w:sz w:val="24"/>
          <w:szCs w:val="24"/>
        </w:rPr>
        <w:t>Background</w:t>
      </w:r>
      <w:r w:rsidR="00935C0E">
        <w:rPr>
          <w:b/>
          <w:sz w:val="24"/>
          <w:szCs w:val="24"/>
        </w:rPr>
        <w:t>:</w:t>
      </w:r>
      <w:r w:rsidR="00F7268B">
        <w:rPr>
          <w:b/>
          <w:sz w:val="24"/>
          <w:szCs w:val="24"/>
        </w:rPr>
        <w:t xml:space="preserve"> </w:t>
      </w:r>
      <w:r w:rsidR="004D5067">
        <w:rPr>
          <w:sz w:val="24"/>
          <w:szCs w:val="24"/>
        </w:rPr>
        <w:t xml:space="preserve">Community health programs that use policy, systems and environmental (PSE) strategies are more likely to have a greater impact on the community’s health than </w:t>
      </w:r>
      <w:r w:rsidR="00190108">
        <w:rPr>
          <w:sz w:val="24"/>
          <w:szCs w:val="24"/>
        </w:rPr>
        <w:t xml:space="preserve">programs using </w:t>
      </w:r>
      <w:r w:rsidR="004D5067">
        <w:rPr>
          <w:sz w:val="24"/>
          <w:szCs w:val="24"/>
        </w:rPr>
        <w:t>strategies directed at individual behaviors.</w:t>
      </w:r>
      <w:r w:rsidR="004D5067">
        <w:rPr>
          <w:sz w:val="24"/>
          <w:szCs w:val="24"/>
          <w:vertAlign w:val="superscript"/>
        </w:rPr>
        <w:t xml:space="preserve">1 </w:t>
      </w:r>
      <w:r w:rsidR="004D5067">
        <w:rPr>
          <w:sz w:val="24"/>
          <w:szCs w:val="24"/>
        </w:rPr>
        <w:t>To build the capacity to lead community PSE change</w:t>
      </w:r>
      <w:r w:rsidR="0058749E">
        <w:rPr>
          <w:sz w:val="24"/>
          <w:szCs w:val="24"/>
        </w:rPr>
        <w:t xml:space="preserve"> at the local level</w:t>
      </w:r>
      <w:r w:rsidR="004D5067">
        <w:rPr>
          <w:sz w:val="24"/>
          <w:szCs w:val="24"/>
        </w:rPr>
        <w:t xml:space="preserve">, the Obesity Prevention Program of the New York State Department of Health (NYSDOH) implemented the Healthy Communities Capacity Building Initiative (Initiative). </w:t>
      </w:r>
      <w:r w:rsidR="00C039EB">
        <w:rPr>
          <w:sz w:val="24"/>
          <w:szCs w:val="24"/>
        </w:rPr>
        <w:t xml:space="preserve"> </w:t>
      </w:r>
      <w:r w:rsidR="00174617">
        <w:rPr>
          <w:sz w:val="24"/>
          <w:szCs w:val="24"/>
        </w:rPr>
        <w:t>Beginning in December 2009,</w:t>
      </w:r>
      <w:r w:rsidR="004D5067">
        <w:rPr>
          <w:sz w:val="24"/>
          <w:szCs w:val="24"/>
        </w:rPr>
        <w:t xml:space="preserve"> </w:t>
      </w:r>
      <w:r w:rsidR="006C076B">
        <w:rPr>
          <w:sz w:val="24"/>
          <w:szCs w:val="24"/>
        </w:rPr>
        <w:t xml:space="preserve">all 62 </w:t>
      </w:r>
      <w:r w:rsidR="0058749E">
        <w:rPr>
          <w:sz w:val="24"/>
          <w:szCs w:val="24"/>
        </w:rPr>
        <w:t xml:space="preserve">New York State </w:t>
      </w:r>
      <w:r w:rsidR="00751937">
        <w:rPr>
          <w:sz w:val="24"/>
          <w:szCs w:val="24"/>
        </w:rPr>
        <w:t>c</w:t>
      </w:r>
      <w:r w:rsidR="0058749E">
        <w:rPr>
          <w:sz w:val="24"/>
          <w:szCs w:val="24"/>
        </w:rPr>
        <w:t>ounties</w:t>
      </w:r>
      <w:r w:rsidR="00751937">
        <w:rPr>
          <w:sz w:val="24"/>
          <w:szCs w:val="24"/>
        </w:rPr>
        <w:t xml:space="preserve"> </w:t>
      </w:r>
      <w:r w:rsidR="004D5067">
        <w:rPr>
          <w:sz w:val="24"/>
          <w:szCs w:val="24"/>
        </w:rPr>
        <w:t xml:space="preserve">were offered </w:t>
      </w:r>
      <w:r w:rsidR="00BF176B">
        <w:rPr>
          <w:sz w:val="24"/>
          <w:szCs w:val="24"/>
        </w:rPr>
        <w:t xml:space="preserve">training and technical assistance to </w:t>
      </w:r>
      <w:r w:rsidR="00174617">
        <w:rPr>
          <w:sz w:val="24"/>
          <w:szCs w:val="24"/>
        </w:rPr>
        <w:t xml:space="preserve">develop strategies to </w:t>
      </w:r>
      <w:r w:rsidR="00BF176B">
        <w:rPr>
          <w:sz w:val="24"/>
          <w:szCs w:val="24"/>
        </w:rPr>
        <w:t xml:space="preserve">implement PSE changes </w:t>
      </w:r>
      <w:r w:rsidR="00174617">
        <w:rPr>
          <w:sz w:val="24"/>
          <w:szCs w:val="24"/>
        </w:rPr>
        <w:t>directed toward</w:t>
      </w:r>
      <w:r w:rsidR="00BF176B">
        <w:rPr>
          <w:sz w:val="24"/>
          <w:szCs w:val="24"/>
        </w:rPr>
        <w:t xml:space="preserve"> physical activity and nutrition objectives. A two-day in-person training </w:t>
      </w:r>
      <w:r w:rsidR="00660364">
        <w:rPr>
          <w:sz w:val="24"/>
          <w:szCs w:val="24"/>
        </w:rPr>
        <w:t>(</w:t>
      </w:r>
      <w:r w:rsidR="00BF176B">
        <w:rPr>
          <w:sz w:val="24"/>
          <w:szCs w:val="24"/>
        </w:rPr>
        <w:t>called an Action Institute</w:t>
      </w:r>
      <w:r w:rsidR="00660364">
        <w:rPr>
          <w:sz w:val="24"/>
          <w:szCs w:val="24"/>
        </w:rPr>
        <w:t>)</w:t>
      </w:r>
      <w:r w:rsidR="00BF176B">
        <w:rPr>
          <w:sz w:val="24"/>
          <w:szCs w:val="24"/>
        </w:rPr>
        <w:t xml:space="preserve"> was provided in February 2010 to </w:t>
      </w:r>
      <w:r w:rsidR="0058749E">
        <w:rPr>
          <w:sz w:val="24"/>
          <w:szCs w:val="24"/>
        </w:rPr>
        <w:t>county participants</w:t>
      </w:r>
      <w:r w:rsidR="00BF176B">
        <w:rPr>
          <w:sz w:val="24"/>
          <w:szCs w:val="24"/>
        </w:rPr>
        <w:t xml:space="preserve"> and</w:t>
      </w:r>
      <w:r w:rsidR="0058749E">
        <w:rPr>
          <w:sz w:val="24"/>
          <w:szCs w:val="24"/>
        </w:rPr>
        <w:t xml:space="preserve"> their</w:t>
      </w:r>
      <w:r w:rsidR="00BF176B">
        <w:rPr>
          <w:sz w:val="24"/>
          <w:szCs w:val="24"/>
        </w:rPr>
        <w:t xml:space="preserve"> partners</w:t>
      </w:r>
      <w:r w:rsidR="002B3B81">
        <w:rPr>
          <w:sz w:val="24"/>
          <w:szCs w:val="24"/>
        </w:rPr>
        <w:t xml:space="preserve"> </w:t>
      </w:r>
      <w:r w:rsidR="0058749E" w:rsidRPr="005D5A17">
        <w:rPr>
          <w:color w:val="000000"/>
          <w:sz w:val="24"/>
          <w:szCs w:val="24"/>
        </w:rPr>
        <w:t>facilitated by local health departments.</w:t>
      </w:r>
      <w:r w:rsidR="00BF176B" w:rsidRPr="005D5A17">
        <w:rPr>
          <w:color w:val="000000"/>
          <w:sz w:val="24"/>
          <w:szCs w:val="24"/>
        </w:rPr>
        <w:t xml:space="preserve"> Training at the Action Institute was provided by extern</w:t>
      </w:r>
      <w:r w:rsidR="00BF176B">
        <w:rPr>
          <w:sz w:val="24"/>
          <w:szCs w:val="24"/>
        </w:rPr>
        <w:t>al experts from the Prevention Institute of Oakland, California.</w:t>
      </w:r>
      <w:r w:rsidR="00751937">
        <w:rPr>
          <w:sz w:val="24"/>
          <w:szCs w:val="24"/>
        </w:rPr>
        <w:t xml:space="preserve">  </w:t>
      </w:r>
      <w:r w:rsidR="00751937" w:rsidRPr="005D5A17">
        <w:rPr>
          <w:color w:val="000000"/>
          <w:sz w:val="24"/>
          <w:szCs w:val="24"/>
        </w:rPr>
        <w:t>Through their local health departments, c</w:t>
      </w:r>
      <w:r w:rsidR="0058749E" w:rsidRPr="005D5A17">
        <w:rPr>
          <w:color w:val="000000"/>
          <w:sz w:val="24"/>
          <w:szCs w:val="24"/>
        </w:rPr>
        <w:t>ounties</w:t>
      </w:r>
      <w:r w:rsidR="00BF176B" w:rsidRPr="005D5A17">
        <w:rPr>
          <w:color w:val="000000"/>
          <w:sz w:val="24"/>
          <w:szCs w:val="24"/>
        </w:rPr>
        <w:t xml:space="preserve"> received a one-time grant of $34,000</w:t>
      </w:r>
      <w:r w:rsidR="00BF7FB6">
        <w:rPr>
          <w:color w:val="000000"/>
          <w:sz w:val="24"/>
          <w:szCs w:val="24"/>
        </w:rPr>
        <w:t>, which represented a 1.9 million dollar investment in county level capacity building. Counties identified representatives from health departments and the community to</w:t>
      </w:r>
      <w:r w:rsidR="00BF176B" w:rsidRPr="005D5A17">
        <w:rPr>
          <w:color w:val="000000"/>
          <w:sz w:val="24"/>
          <w:szCs w:val="24"/>
        </w:rPr>
        <w:t xml:space="preserve"> attend the Ac</w:t>
      </w:r>
      <w:r w:rsidR="00BF176B">
        <w:rPr>
          <w:sz w:val="24"/>
          <w:szCs w:val="24"/>
        </w:rPr>
        <w:t xml:space="preserve">tion Institute </w:t>
      </w:r>
      <w:r w:rsidR="00BF7FB6">
        <w:rPr>
          <w:sz w:val="24"/>
          <w:szCs w:val="24"/>
        </w:rPr>
        <w:t>trainings,</w:t>
      </w:r>
      <w:r w:rsidR="00BF176B">
        <w:rPr>
          <w:sz w:val="24"/>
          <w:szCs w:val="24"/>
        </w:rPr>
        <w:t xml:space="preserve"> initiate PSE changes</w:t>
      </w:r>
      <w:r w:rsidR="00174617">
        <w:rPr>
          <w:sz w:val="24"/>
          <w:szCs w:val="24"/>
        </w:rPr>
        <w:t xml:space="preserve">, </w:t>
      </w:r>
      <w:r w:rsidR="00C65693">
        <w:rPr>
          <w:sz w:val="24"/>
          <w:szCs w:val="24"/>
        </w:rPr>
        <w:t xml:space="preserve"> and </w:t>
      </w:r>
      <w:r w:rsidR="00190108">
        <w:rPr>
          <w:sz w:val="24"/>
          <w:szCs w:val="24"/>
        </w:rPr>
        <w:t xml:space="preserve">to </w:t>
      </w:r>
      <w:r w:rsidR="00174617">
        <w:rPr>
          <w:sz w:val="24"/>
          <w:szCs w:val="24"/>
        </w:rPr>
        <w:t>recruit local coalitions to participate in the work</w:t>
      </w:r>
      <w:r w:rsidR="00BF176B">
        <w:rPr>
          <w:sz w:val="24"/>
          <w:szCs w:val="24"/>
        </w:rPr>
        <w:t xml:space="preserve">. </w:t>
      </w:r>
      <w:r w:rsidR="004D5067">
        <w:rPr>
          <w:sz w:val="24"/>
          <w:szCs w:val="24"/>
        </w:rPr>
        <w:t xml:space="preserve"> </w:t>
      </w:r>
      <w:r w:rsidR="00BF7FB6">
        <w:rPr>
          <w:sz w:val="24"/>
          <w:szCs w:val="24"/>
        </w:rPr>
        <w:t xml:space="preserve"> </w:t>
      </w:r>
      <w:r w:rsidR="00174617">
        <w:rPr>
          <w:sz w:val="24"/>
          <w:szCs w:val="24"/>
        </w:rPr>
        <w:t>During the Action Institute, e</w:t>
      </w:r>
      <w:r w:rsidR="00BF176B">
        <w:rPr>
          <w:sz w:val="24"/>
          <w:szCs w:val="24"/>
        </w:rPr>
        <w:t xml:space="preserve">ach participating </w:t>
      </w:r>
      <w:r w:rsidR="00D21986">
        <w:rPr>
          <w:sz w:val="24"/>
          <w:szCs w:val="24"/>
        </w:rPr>
        <w:t xml:space="preserve">county </w:t>
      </w:r>
      <w:r w:rsidR="00BF176B">
        <w:rPr>
          <w:sz w:val="24"/>
          <w:szCs w:val="24"/>
        </w:rPr>
        <w:t>complete</w:t>
      </w:r>
      <w:r w:rsidR="00751937">
        <w:rPr>
          <w:sz w:val="24"/>
          <w:szCs w:val="24"/>
        </w:rPr>
        <w:t>d</w:t>
      </w:r>
      <w:r w:rsidR="00BF176B">
        <w:rPr>
          <w:sz w:val="24"/>
          <w:szCs w:val="24"/>
        </w:rPr>
        <w:t xml:space="preserve"> an </w:t>
      </w:r>
      <w:r w:rsidR="00AC7F51">
        <w:rPr>
          <w:sz w:val="24"/>
          <w:szCs w:val="24"/>
        </w:rPr>
        <w:t>a</w:t>
      </w:r>
      <w:r w:rsidR="00BF176B">
        <w:rPr>
          <w:sz w:val="24"/>
          <w:szCs w:val="24"/>
        </w:rPr>
        <w:t xml:space="preserve">ction </w:t>
      </w:r>
      <w:r w:rsidR="00AC7F51">
        <w:rPr>
          <w:sz w:val="24"/>
          <w:szCs w:val="24"/>
        </w:rPr>
        <w:t>p</w:t>
      </w:r>
      <w:r w:rsidR="00BF176B">
        <w:rPr>
          <w:sz w:val="24"/>
          <w:szCs w:val="24"/>
        </w:rPr>
        <w:t xml:space="preserve">lan </w:t>
      </w:r>
      <w:r w:rsidR="00174617">
        <w:rPr>
          <w:sz w:val="24"/>
          <w:szCs w:val="24"/>
        </w:rPr>
        <w:t>which inclu</w:t>
      </w:r>
      <w:r w:rsidR="00C039EB">
        <w:rPr>
          <w:sz w:val="24"/>
          <w:szCs w:val="24"/>
        </w:rPr>
        <w:t>d</w:t>
      </w:r>
      <w:r w:rsidR="00AC7F51">
        <w:rPr>
          <w:sz w:val="24"/>
          <w:szCs w:val="24"/>
        </w:rPr>
        <w:t>ed</w:t>
      </w:r>
      <w:r w:rsidR="00174617">
        <w:rPr>
          <w:sz w:val="24"/>
          <w:szCs w:val="24"/>
        </w:rPr>
        <w:t xml:space="preserve"> </w:t>
      </w:r>
      <w:r w:rsidR="0025064F">
        <w:rPr>
          <w:sz w:val="24"/>
          <w:szCs w:val="24"/>
        </w:rPr>
        <w:t xml:space="preserve">up to three </w:t>
      </w:r>
      <w:r w:rsidR="00174617">
        <w:rPr>
          <w:sz w:val="24"/>
          <w:szCs w:val="24"/>
        </w:rPr>
        <w:t xml:space="preserve">strategies </w:t>
      </w:r>
      <w:r w:rsidR="00C039EB">
        <w:rPr>
          <w:sz w:val="24"/>
          <w:szCs w:val="24"/>
        </w:rPr>
        <w:t xml:space="preserve">for change. </w:t>
      </w:r>
      <w:r w:rsidR="00660364">
        <w:rPr>
          <w:sz w:val="24"/>
          <w:szCs w:val="24"/>
        </w:rPr>
        <w:t xml:space="preserve">The </w:t>
      </w:r>
      <w:r w:rsidR="00303712">
        <w:rPr>
          <w:sz w:val="24"/>
          <w:szCs w:val="24"/>
        </w:rPr>
        <w:t>training participants’</w:t>
      </w:r>
      <w:r w:rsidR="00660364">
        <w:rPr>
          <w:sz w:val="24"/>
          <w:szCs w:val="24"/>
        </w:rPr>
        <w:t xml:space="preserve"> perception of their own self-efficacy was thought to play an important role in the </w:t>
      </w:r>
      <w:r w:rsidR="002B3B81">
        <w:rPr>
          <w:sz w:val="24"/>
          <w:szCs w:val="24"/>
        </w:rPr>
        <w:t xml:space="preserve">implementation </w:t>
      </w:r>
      <w:r w:rsidR="00660364">
        <w:rPr>
          <w:sz w:val="24"/>
          <w:szCs w:val="24"/>
        </w:rPr>
        <w:t>of this Initiative.</w:t>
      </w:r>
      <w:r w:rsidR="00660364">
        <w:rPr>
          <w:sz w:val="24"/>
          <w:szCs w:val="24"/>
          <w:vertAlign w:val="superscript"/>
        </w:rPr>
        <w:t>3</w:t>
      </w:r>
    </w:p>
    <w:p w14:paraId="75138952" w14:textId="77777777" w:rsidR="0018723B" w:rsidRPr="00642A81" w:rsidRDefault="000D55DD" w:rsidP="00935C0E">
      <w:pPr>
        <w:rPr>
          <w:sz w:val="24"/>
          <w:szCs w:val="24"/>
        </w:rPr>
      </w:pPr>
      <w:r>
        <w:rPr>
          <w:b/>
          <w:sz w:val="24"/>
          <w:szCs w:val="24"/>
        </w:rPr>
        <w:t xml:space="preserve">Initiative </w:t>
      </w:r>
      <w:r w:rsidR="00935C0E">
        <w:rPr>
          <w:b/>
          <w:sz w:val="24"/>
          <w:szCs w:val="24"/>
        </w:rPr>
        <w:t>Evaluation:</w:t>
      </w:r>
      <w:r w:rsidR="00642A81">
        <w:rPr>
          <w:b/>
          <w:sz w:val="24"/>
          <w:szCs w:val="24"/>
        </w:rPr>
        <w:t xml:space="preserve"> </w:t>
      </w:r>
      <w:r w:rsidR="00F7268B">
        <w:rPr>
          <w:sz w:val="24"/>
          <w:szCs w:val="24"/>
        </w:rPr>
        <w:t xml:space="preserve">The </w:t>
      </w:r>
      <w:r w:rsidR="00642A81">
        <w:rPr>
          <w:sz w:val="24"/>
          <w:szCs w:val="24"/>
        </w:rPr>
        <w:t>RE-AIM framework was used to evaluate this Initiative</w:t>
      </w:r>
      <w:r w:rsidR="00F7268B">
        <w:rPr>
          <w:sz w:val="24"/>
          <w:szCs w:val="24"/>
        </w:rPr>
        <w:t xml:space="preserve"> over a </w:t>
      </w:r>
      <w:r w:rsidR="002B3B81">
        <w:rPr>
          <w:sz w:val="24"/>
          <w:szCs w:val="24"/>
        </w:rPr>
        <w:t>twenty-month</w:t>
      </w:r>
      <w:r w:rsidR="00F7268B">
        <w:rPr>
          <w:sz w:val="24"/>
          <w:szCs w:val="24"/>
        </w:rPr>
        <w:t xml:space="preserve"> period</w:t>
      </w:r>
      <w:r w:rsidR="00642A81">
        <w:rPr>
          <w:sz w:val="24"/>
          <w:szCs w:val="24"/>
        </w:rPr>
        <w:t>.</w:t>
      </w:r>
      <w:r w:rsidR="004D5067" w:rsidRPr="004D5067">
        <w:rPr>
          <w:sz w:val="24"/>
          <w:szCs w:val="24"/>
          <w:vertAlign w:val="superscript"/>
        </w:rPr>
        <w:t>2</w:t>
      </w:r>
      <w:r w:rsidR="00642A81">
        <w:rPr>
          <w:sz w:val="24"/>
          <w:szCs w:val="24"/>
        </w:rPr>
        <w:t xml:space="preserve"> </w:t>
      </w:r>
      <w:r w:rsidR="00F7268B">
        <w:rPr>
          <w:sz w:val="24"/>
          <w:szCs w:val="24"/>
        </w:rPr>
        <w:t xml:space="preserve">The RE-AIM framework is a comprehensive framework which evaluates public health interventions using five dimensions: reach, efficacy, adoption, implementation, and maintenance. </w:t>
      </w:r>
      <w:r w:rsidR="0025064F">
        <w:rPr>
          <w:sz w:val="24"/>
          <w:szCs w:val="24"/>
        </w:rPr>
        <w:t>This framework was ada</w:t>
      </w:r>
      <w:r w:rsidR="00D4058C">
        <w:rPr>
          <w:sz w:val="24"/>
          <w:szCs w:val="24"/>
        </w:rPr>
        <w:t xml:space="preserve">pted to evaluate </w:t>
      </w:r>
      <w:r w:rsidR="00303712">
        <w:rPr>
          <w:color w:val="000000"/>
          <w:sz w:val="24"/>
          <w:szCs w:val="24"/>
        </w:rPr>
        <w:t>this county I</w:t>
      </w:r>
      <w:r w:rsidR="00EA438C" w:rsidRPr="005D5A17">
        <w:rPr>
          <w:color w:val="000000"/>
          <w:sz w:val="24"/>
          <w:szCs w:val="24"/>
        </w:rPr>
        <w:t>nitiative</w:t>
      </w:r>
      <w:r w:rsidR="00D4058C" w:rsidRPr="00EA438C">
        <w:rPr>
          <w:color w:val="FF0000"/>
          <w:sz w:val="24"/>
          <w:szCs w:val="24"/>
        </w:rPr>
        <w:t>.</w:t>
      </w:r>
      <w:r w:rsidR="00D4058C">
        <w:rPr>
          <w:sz w:val="24"/>
          <w:szCs w:val="24"/>
        </w:rPr>
        <w:t xml:space="preserve">  </w:t>
      </w:r>
      <w:r w:rsidR="00364645">
        <w:rPr>
          <w:sz w:val="24"/>
          <w:szCs w:val="24"/>
        </w:rPr>
        <w:t>To measure r</w:t>
      </w:r>
      <w:r w:rsidR="00660364">
        <w:rPr>
          <w:sz w:val="24"/>
          <w:szCs w:val="24"/>
        </w:rPr>
        <w:t>each</w:t>
      </w:r>
      <w:r w:rsidR="00364645">
        <w:rPr>
          <w:sz w:val="24"/>
          <w:szCs w:val="24"/>
        </w:rPr>
        <w:t xml:space="preserve">, </w:t>
      </w:r>
      <w:r w:rsidR="00D4058C">
        <w:rPr>
          <w:sz w:val="24"/>
          <w:szCs w:val="24"/>
        </w:rPr>
        <w:t xml:space="preserve">the </w:t>
      </w:r>
      <w:r w:rsidR="002B3B81">
        <w:rPr>
          <w:sz w:val="24"/>
          <w:szCs w:val="24"/>
        </w:rPr>
        <w:t xml:space="preserve">number of </w:t>
      </w:r>
      <w:r w:rsidR="00EA438C" w:rsidRPr="005D5A17">
        <w:rPr>
          <w:color w:val="000000"/>
          <w:sz w:val="24"/>
          <w:szCs w:val="24"/>
        </w:rPr>
        <w:t>counties</w:t>
      </w:r>
      <w:r w:rsidR="002B3B81" w:rsidRPr="005D5A17">
        <w:rPr>
          <w:color w:val="000000"/>
          <w:sz w:val="24"/>
          <w:szCs w:val="24"/>
        </w:rPr>
        <w:t xml:space="preserve"> </w:t>
      </w:r>
      <w:r w:rsidR="00303712">
        <w:rPr>
          <w:sz w:val="24"/>
          <w:szCs w:val="24"/>
        </w:rPr>
        <w:t xml:space="preserve">that </w:t>
      </w:r>
      <w:r w:rsidR="002B3B81">
        <w:rPr>
          <w:sz w:val="24"/>
          <w:szCs w:val="24"/>
        </w:rPr>
        <w:t xml:space="preserve">participated and </w:t>
      </w:r>
      <w:r w:rsidR="00364645">
        <w:rPr>
          <w:sz w:val="24"/>
          <w:szCs w:val="24"/>
        </w:rPr>
        <w:t>the range of different partners who participated</w:t>
      </w:r>
      <w:r w:rsidR="00491CC4">
        <w:rPr>
          <w:sz w:val="24"/>
          <w:szCs w:val="24"/>
        </w:rPr>
        <w:t xml:space="preserve"> </w:t>
      </w:r>
      <w:r w:rsidR="00364645">
        <w:rPr>
          <w:sz w:val="24"/>
          <w:szCs w:val="24"/>
        </w:rPr>
        <w:t xml:space="preserve">in the Action Institute </w:t>
      </w:r>
      <w:r w:rsidR="00D4058C">
        <w:rPr>
          <w:sz w:val="24"/>
          <w:szCs w:val="24"/>
        </w:rPr>
        <w:t xml:space="preserve">were </w:t>
      </w:r>
      <w:r w:rsidR="00364645">
        <w:rPr>
          <w:sz w:val="24"/>
          <w:szCs w:val="24"/>
        </w:rPr>
        <w:t>assessed.  Efficacy was assessed by administering a self-</w:t>
      </w:r>
      <w:r w:rsidR="00D4058C">
        <w:rPr>
          <w:sz w:val="24"/>
          <w:szCs w:val="24"/>
        </w:rPr>
        <w:t>confidence</w:t>
      </w:r>
      <w:r w:rsidR="00364645">
        <w:rPr>
          <w:sz w:val="24"/>
          <w:szCs w:val="24"/>
        </w:rPr>
        <w:t xml:space="preserve"> scale to </w:t>
      </w:r>
      <w:r w:rsidR="00491CC4">
        <w:rPr>
          <w:sz w:val="24"/>
          <w:szCs w:val="24"/>
        </w:rPr>
        <w:t>all county participants</w:t>
      </w:r>
      <w:r w:rsidR="00364645">
        <w:rPr>
          <w:sz w:val="24"/>
          <w:szCs w:val="24"/>
        </w:rPr>
        <w:t xml:space="preserve"> who attended </w:t>
      </w:r>
      <w:r w:rsidR="00190108">
        <w:rPr>
          <w:sz w:val="24"/>
          <w:szCs w:val="24"/>
        </w:rPr>
        <w:t xml:space="preserve">the Action Institute. Administration occurred </w:t>
      </w:r>
      <w:r w:rsidR="0025064F">
        <w:rPr>
          <w:sz w:val="24"/>
          <w:szCs w:val="24"/>
        </w:rPr>
        <w:t xml:space="preserve">both </w:t>
      </w:r>
      <w:r w:rsidR="00364645">
        <w:rPr>
          <w:sz w:val="24"/>
          <w:szCs w:val="24"/>
        </w:rPr>
        <w:t xml:space="preserve">before </w:t>
      </w:r>
      <w:r w:rsidR="00190108">
        <w:rPr>
          <w:sz w:val="24"/>
          <w:szCs w:val="24"/>
        </w:rPr>
        <w:t xml:space="preserve">the Action Institute, </w:t>
      </w:r>
      <w:r w:rsidR="00364645">
        <w:rPr>
          <w:sz w:val="24"/>
          <w:szCs w:val="24"/>
        </w:rPr>
        <w:t>immediately after</w:t>
      </w:r>
      <w:r w:rsidR="00190108">
        <w:rPr>
          <w:sz w:val="24"/>
          <w:szCs w:val="24"/>
        </w:rPr>
        <w:t>,</w:t>
      </w:r>
      <w:r w:rsidR="00364645">
        <w:rPr>
          <w:sz w:val="24"/>
          <w:szCs w:val="24"/>
        </w:rPr>
        <w:t xml:space="preserve"> and again three months later. </w:t>
      </w:r>
      <w:r w:rsidR="001A7AAB">
        <w:rPr>
          <w:sz w:val="24"/>
          <w:szCs w:val="24"/>
        </w:rPr>
        <w:t xml:space="preserve"> </w:t>
      </w:r>
      <w:r w:rsidR="0018723B">
        <w:rPr>
          <w:sz w:val="24"/>
          <w:szCs w:val="24"/>
        </w:rPr>
        <w:t xml:space="preserve">This scale was developed by evaluation staff with content based on the goals and objectives from the course </w:t>
      </w:r>
      <w:r w:rsidR="0025064F">
        <w:rPr>
          <w:sz w:val="24"/>
          <w:szCs w:val="24"/>
        </w:rPr>
        <w:t>syllabus</w:t>
      </w:r>
      <w:r w:rsidR="0018723B">
        <w:rPr>
          <w:sz w:val="24"/>
          <w:szCs w:val="24"/>
        </w:rPr>
        <w:t xml:space="preserve"> and on principles of self-efficacy.</w:t>
      </w:r>
      <w:r w:rsidR="0018723B" w:rsidRPr="0018723B">
        <w:rPr>
          <w:sz w:val="24"/>
          <w:szCs w:val="24"/>
          <w:vertAlign w:val="superscript"/>
        </w:rPr>
        <w:t>3</w:t>
      </w:r>
      <w:r w:rsidR="0018723B">
        <w:rPr>
          <w:sz w:val="24"/>
          <w:szCs w:val="24"/>
          <w:vertAlign w:val="superscript"/>
        </w:rPr>
        <w:t xml:space="preserve"> </w:t>
      </w:r>
      <w:r w:rsidR="001A7AAB">
        <w:rPr>
          <w:sz w:val="24"/>
          <w:szCs w:val="24"/>
        </w:rPr>
        <w:t xml:space="preserve">Additional skills </w:t>
      </w:r>
      <w:r w:rsidR="001A7AAB">
        <w:rPr>
          <w:sz w:val="24"/>
          <w:szCs w:val="24"/>
        </w:rPr>
        <w:lastRenderedPageBreak/>
        <w:t xml:space="preserve">and concepts covered as part of the Action Institute were assessed at the end of the Action Institute.  </w:t>
      </w:r>
      <w:r w:rsidR="00364645">
        <w:rPr>
          <w:sz w:val="24"/>
          <w:szCs w:val="24"/>
        </w:rPr>
        <w:t xml:space="preserve">Adoption and implementation were measured using a web-based survey administered </w:t>
      </w:r>
      <w:r w:rsidR="00364645" w:rsidRPr="005D5A17">
        <w:rPr>
          <w:color w:val="000000"/>
          <w:sz w:val="24"/>
          <w:szCs w:val="24"/>
        </w:rPr>
        <w:t xml:space="preserve">to </w:t>
      </w:r>
      <w:r w:rsidR="00491CC4" w:rsidRPr="005D5A17">
        <w:rPr>
          <w:color w:val="000000"/>
          <w:sz w:val="24"/>
          <w:szCs w:val="24"/>
        </w:rPr>
        <w:t xml:space="preserve">all </w:t>
      </w:r>
      <w:r w:rsidR="00303712">
        <w:rPr>
          <w:color w:val="000000"/>
          <w:sz w:val="24"/>
          <w:szCs w:val="24"/>
        </w:rPr>
        <w:t xml:space="preserve">county partnerships </w:t>
      </w:r>
      <w:r w:rsidR="00364645">
        <w:rPr>
          <w:sz w:val="24"/>
          <w:szCs w:val="24"/>
        </w:rPr>
        <w:t xml:space="preserve">six months after the Action Institute. </w:t>
      </w:r>
      <w:r w:rsidR="00D4058C">
        <w:rPr>
          <w:sz w:val="24"/>
          <w:szCs w:val="24"/>
        </w:rPr>
        <w:t>I</w:t>
      </w:r>
      <w:r w:rsidR="00364645">
        <w:rPr>
          <w:sz w:val="24"/>
          <w:szCs w:val="24"/>
        </w:rPr>
        <w:t>nterview</w:t>
      </w:r>
      <w:r w:rsidR="001E07B7">
        <w:rPr>
          <w:sz w:val="24"/>
          <w:szCs w:val="24"/>
        </w:rPr>
        <w:t xml:space="preserve">s </w:t>
      </w:r>
      <w:r w:rsidR="00364645">
        <w:rPr>
          <w:sz w:val="24"/>
          <w:szCs w:val="24"/>
        </w:rPr>
        <w:t xml:space="preserve">of </w:t>
      </w:r>
      <w:r w:rsidR="00491CC4" w:rsidRPr="005D5A17">
        <w:rPr>
          <w:color w:val="000000"/>
          <w:sz w:val="24"/>
          <w:szCs w:val="24"/>
        </w:rPr>
        <w:t>county partnership leaders</w:t>
      </w:r>
      <w:r w:rsidR="00364645" w:rsidRPr="005D5A17">
        <w:rPr>
          <w:color w:val="000000"/>
          <w:sz w:val="24"/>
          <w:szCs w:val="24"/>
        </w:rPr>
        <w:t xml:space="preserve"> occurred</w:t>
      </w:r>
      <w:r w:rsidR="00364645">
        <w:rPr>
          <w:sz w:val="24"/>
          <w:szCs w:val="24"/>
        </w:rPr>
        <w:t xml:space="preserve"> </w:t>
      </w:r>
      <w:r w:rsidR="00C264F6">
        <w:rPr>
          <w:sz w:val="24"/>
          <w:szCs w:val="24"/>
        </w:rPr>
        <w:t xml:space="preserve">in </w:t>
      </w:r>
      <w:r w:rsidR="00637847">
        <w:rPr>
          <w:sz w:val="24"/>
          <w:szCs w:val="24"/>
        </w:rPr>
        <w:t>August –Septembe</w:t>
      </w:r>
      <w:r w:rsidR="00CE32F6">
        <w:rPr>
          <w:sz w:val="24"/>
          <w:szCs w:val="24"/>
        </w:rPr>
        <w:t>r</w:t>
      </w:r>
      <w:r w:rsidR="00637847">
        <w:rPr>
          <w:sz w:val="24"/>
          <w:szCs w:val="24"/>
        </w:rPr>
        <w:t xml:space="preserve"> 2011 to measure maintenance. </w:t>
      </w:r>
    </w:p>
    <w:p w14:paraId="75138953" w14:textId="77777777" w:rsidR="003A234E" w:rsidRDefault="00CE32F6" w:rsidP="00935C0E">
      <w:pPr>
        <w:rPr>
          <w:b/>
          <w:sz w:val="24"/>
          <w:szCs w:val="24"/>
        </w:rPr>
      </w:pPr>
      <w:r>
        <w:rPr>
          <w:b/>
          <w:sz w:val="24"/>
          <w:szCs w:val="24"/>
        </w:rPr>
        <w:t>Reach</w:t>
      </w:r>
    </w:p>
    <w:p w14:paraId="75138954" w14:textId="77777777" w:rsidR="0078324A" w:rsidRDefault="00CE32F6" w:rsidP="00935C0E">
      <w:pPr>
        <w:rPr>
          <w:sz w:val="24"/>
          <w:szCs w:val="24"/>
        </w:rPr>
      </w:pPr>
      <w:r>
        <w:rPr>
          <w:sz w:val="24"/>
          <w:szCs w:val="24"/>
        </w:rPr>
        <w:t xml:space="preserve">Reach is defined in the RE-AIM framework as </w:t>
      </w:r>
      <w:r w:rsidR="006C076B">
        <w:rPr>
          <w:sz w:val="24"/>
          <w:szCs w:val="24"/>
        </w:rPr>
        <w:t>“the proportion of the target population that participated in the intervention</w:t>
      </w:r>
      <w:r w:rsidR="006A7DE0">
        <w:rPr>
          <w:sz w:val="24"/>
          <w:szCs w:val="24"/>
        </w:rPr>
        <w:t>”.</w:t>
      </w:r>
      <w:r w:rsidR="009F28EF">
        <w:rPr>
          <w:sz w:val="24"/>
          <w:szCs w:val="24"/>
          <w:vertAlign w:val="superscript"/>
        </w:rPr>
        <w:t>2</w:t>
      </w:r>
      <w:r w:rsidR="006A7DE0">
        <w:rPr>
          <w:sz w:val="24"/>
          <w:szCs w:val="24"/>
        </w:rPr>
        <w:t xml:space="preserve">  </w:t>
      </w:r>
      <w:r w:rsidR="005B3CF7">
        <w:rPr>
          <w:sz w:val="24"/>
          <w:szCs w:val="24"/>
        </w:rPr>
        <w:t xml:space="preserve"> </w:t>
      </w:r>
      <w:r w:rsidR="006C076B">
        <w:rPr>
          <w:sz w:val="24"/>
          <w:szCs w:val="24"/>
        </w:rPr>
        <w:t xml:space="preserve">90% </w:t>
      </w:r>
      <w:r w:rsidR="006C076B" w:rsidRPr="008363A5">
        <w:rPr>
          <w:color w:val="000000"/>
          <w:sz w:val="24"/>
          <w:szCs w:val="24"/>
        </w:rPr>
        <w:t xml:space="preserve">of </w:t>
      </w:r>
      <w:r w:rsidR="007B5926" w:rsidRPr="008363A5">
        <w:rPr>
          <w:color w:val="000000"/>
          <w:sz w:val="24"/>
          <w:szCs w:val="24"/>
        </w:rPr>
        <w:t xml:space="preserve">New York </w:t>
      </w:r>
      <w:r w:rsidR="008363A5" w:rsidRPr="008363A5">
        <w:rPr>
          <w:color w:val="000000"/>
          <w:sz w:val="24"/>
          <w:szCs w:val="24"/>
        </w:rPr>
        <w:t>s</w:t>
      </w:r>
      <w:r w:rsidR="007B5926" w:rsidRPr="008363A5">
        <w:rPr>
          <w:color w:val="000000"/>
          <w:sz w:val="24"/>
          <w:szCs w:val="24"/>
        </w:rPr>
        <w:t>tate counties</w:t>
      </w:r>
      <w:r w:rsidR="006C076B">
        <w:rPr>
          <w:sz w:val="24"/>
          <w:szCs w:val="24"/>
        </w:rPr>
        <w:t xml:space="preserve"> (56 of 62) chose to participate in the Initiative. </w:t>
      </w:r>
      <w:r w:rsidR="0078324A">
        <w:rPr>
          <w:sz w:val="24"/>
          <w:szCs w:val="24"/>
        </w:rPr>
        <w:t xml:space="preserve">Counties which did not participate were all small, upstate counties, but </w:t>
      </w:r>
      <w:r w:rsidR="003B5713">
        <w:rPr>
          <w:sz w:val="24"/>
          <w:szCs w:val="24"/>
        </w:rPr>
        <w:t>t</w:t>
      </w:r>
      <w:r w:rsidR="005B3CF7">
        <w:rPr>
          <w:sz w:val="24"/>
          <w:szCs w:val="24"/>
        </w:rPr>
        <w:t>he decision to p</w:t>
      </w:r>
      <w:r w:rsidR="006C076B">
        <w:rPr>
          <w:sz w:val="24"/>
          <w:szCs w:val="24"/>
        </w:rPr>
        <w:t>articipat</w:t>
      </w:r>
      <w:r w:rsidR="005B3CF7">
        <w:rPr>
          <w:sz w:val="24"/>
          <w:szCs w:val="24"/>
        </w:rPr>
        <w:t>e</w:t>
      </w:r>
      <w:r w:rsidR="0078324A">
        <w:rPr>
          <w:sz w:val="24"/>
          <w:szCs w:val="24"/>
        </w:rPr>
        <w:t xml:space="preserve"> </w:t>
      </w:r>
      <w:r w:rsidR="006C076B">
        <w:rPr>
          <w:sz w:val="24"/>
          <w:szCs w:val="24"/>
        </w:rPr>
        <w:t xml:space="preserve">was </w:t>
      </w:r>
      <w:r w:rsidR="0078324A">
        <w:rPr>
          <w:sz w:val="24"/>
          <w:szCs w:val="24"/>
        </w:rPr>
        <w:t>unrelated</w:t>
      </w:r>
      <w:r w:rsidR="006C076B">
        <w:rPr>
          <w:sz w:val="24"/>
          <w:szCs w:val="24"/>
        </w:rPr>
        <w:t xml:space="preserve"> to county socioeconomic status as measured by whether or not the </w:t>
      </w:r>
      <w:r w:rsidR="00C039EB">
        <w:rPr>
          <w:sz w:val="24"/>
          <w:szCs w:val="24"/>
        </w:rPr>
        <w:t xml:space="preserve">median income </w:t>
      </w:r>
      <w:r w:rsidR="006C076B">
        <w:rPr>
          <w:sz w:val="24"/>
          <w:szCs w:val="24"/>
        </w:rPr>
        <w:t>of residents in the county was above or below the federal poverty line</w:t>
      </w:r>
      <w:r w:rsidR="0078324A">
        <w:rPr>
          <w:sz w:val="24"/>
          <w:szCs w:val="24"/>
        </w:rPr>
        <w:t>.</w:t>
      </w:r>
    </w:p>
    <w:p w14:paraId="75138955" w14:textId="77777777" w:rsidR="00E2350F" w:rsidRDefault="005B3CF7" w:rsidP="00935C0E">
      <w:pPr>
        <w:rPr>
          <w:sz w:val="24"/>
          <w:szCs w:val="24"/>
        </w:rPr>
      </w:pPr>
      <w:r>
        <w:rPr>
          <w:sz w:val="24"/>
          <w:szCs w:val="24"/>
        </w:rPr>
        <w:t xml:space="preserve"> As shown in Figure 1, the training reached an unduplicated count of more than 500 county participants with 21% attending both the Introductory and Action Institute trainings</w:t>
      </w:r>
      <w:r w:rsidR="0078324A">
        <w:rPr>
          <w:sz w:val="24"/>
          <w:szCs w:val="24"/>
        </w:rPr>
        <w:t xml:space="preserve">.  </w:t>
      </w:r>
      <w:r w:rsidR="000A483B">
        <w:rPr>
          <w:sz w:val="24"/>
          <w:szCs w:val="24"/>
        </w:rPr>
        <w:t>12</w:t>
      </w:r>
      <w:r w:rsidR="00055C6B">
        <w:rPr>
          <w:sz w:val="24"/>
          <w:szCs w:val="24"/>
        </w:rPr>
        <w:t>8</w:t>
      </w:r>
      <w:r w:rsidR="0078324A">
        <w:rPr>
          <w:sz w:val="24"/>
          <w:szCs w:val="24"/>
        </w:rPr>
        <w:t xml:space="preserve"> </w:t>
      </w:r>
      <w:r w:rsidR="000A483B">
        <w:rPr>
          <w:sz w:val="24"/>
          <w:szCs w:val="24"/>
        </w:rPr>
        <w:t>l</w:t>
      </w:r>
      <w:r>
        <w:rPr>
          <w:sz w:val="24"/>
          <w:szCs w:val="24"/>
        </w:rPr>
        <w:t>ocal health department staff</w:t>
      </w:r>
      <w:r w:rsidR="000A483B">
        <w:rPr>
          <w:sz w:val="24"/>
          <w:szCs w:val="24"/>
        </w:rPr>
        <w:t>,</w:t>
      </w:r>
      <w:r>
        <w:rPr>
          <w:sz w:val="24"/>
          <w:szCs w:val="24"/>
        </w:rPr>
        <w:t xml:space="preserve"> re</w:t>
      </w:r>
      <w:r w:rsidR="0078324A">
        <w:rPr>
          <w:sz w:val="24"/>
          <w:szCs w:val="24"/>
        </w:rPr>
        <w:t>p</w:t>
      </w:r>
      <w:r>
        <w:rPr>
          <w:sz w:val="24"/>
          <w:szCs w:val="24"/>
        </w:rPr>
        <w:t>resenting all of the participating</w:t>
      </w:r>
      <w:r w:rsidR="0078324A">
        <w:rPr>
          <w:sz w:val="24"/>
          <w:szCs w:val="24"/>
        </w:rPr>
        <w:t xml:space="preserve"> counties</w:t>
      </w:r>
      <w:r w:rsidR="000A483B">
        <w:rPr>
          <w:sz w:val="24"/>
          <w:szCs w:val="24"/>
        </w:rPr>
        <w:t>,</w:t>
      </w:r>
      <w:r w:rsidR="0078324A">
        <w:rPr>
          <w:sz w:val="24"/>
          <w:szCs w:val="24"/>
        </w:rPr>
        <w:t xml:space="preserve"> </w:t>
      </w:r>
      <w:r>
        <w:rPr>
          <w:sz w:val="24"/>
          <w:szCs w:val="24"/>
        </w:rPr>
        <w:t xml:space="preserve">attended at least one of the trainings with </w:t>
      </w:r>
      <w:r w:rsidR="00055C6B">
        <w:rPr>
          <w:sz w:val="24"/>
          <w:szCs w:val="24"/>
        </w:rPr>
        <w:t>52</w:t>
      </w:r>
      <w:r>
        <w:rPr>
          <w:sz w:val="24"/>
          <w:szCs w:val="24"/>
        </w:rPr>
        <w:t xml:space="preserve">% attending both </w:t>
      </w:r>
      <w:r w:rsidR="0078324A">
        <w:rPr>
          <w:sz w:val="24"/>
          <w:szCs w:val="24"/>
        </w:rPr>
        <w:t>the Introductory Course and Action Institute</w:t>
      </w:r>
      <w:r>
        <w:rPr>
          <w:sz w:val="24"/>
          <w:szCs w:val="24"/>
        </w:rPr>
        <w:t xml:space="preserve">. </w:t>
      </w:r>
      <w:r w:rsidR="006C076B">
        <w:rPr>
          <w:sz w:val="24"/>
          <w:szCs w:val="24"/>
        </w:rPr>
        <w:t xml:space="preserve"> </w:t>
      </w:r>
      <w:r w:rsidR="0078324A">
        <w:rPr>
          <w:sz w:val="24"/>
          <w:szCs w:val="24"/>
        </w:rPr>
        <w:t xml:space="preserve"> Local</w:t>
      </w:r>
      <w:r w:rsidR="00D21D36">
        <w:rPr>
          <w:sz w:val="24"/>
          <w:szCs w:val="24"/>
        </w:rPr>
        <w:t xml:space="preserve"> partners</w:t>
      </w:r>
      <w:r w:rsidR="008363A5">
        <w:rPr>
          <w:sz w:val="24"/>
          <w:szCs w:val="24"/>
        </w:rPr>
        <w:t xml:space="preserve"> </w:t>
      </w:r>
      <w:r w:rsidR="007B5926" w:rsidRPr="008363A5">
        <w:rPr>
          <w:color w:val="000000"/>
          <w:sz w:val="24"/>
          <w:szCs w:val="24"/>
        </w:rPr>
        <w:t>identified by county leaders</w:t>
      </w:r>
      <w:r w:rsidR="006C076B">
        <w:rPr>
          <w:sz w:val="24"/>
          <w:szCs w:val="24"/>
        </w:rPr>
        <w:t xml:space="preserve"> were also invited to participate as important contributors to enacting change in the community.</w:t>
      </w:r>
      <w:r>
        <w:rPr>
          <w:sz w:val="24"/>
          <w:szCs w:val="24"/>
        </w:rPr>
        <w:t xml:space="preserve"> </w:t>
      </w:r>
      <w:r w:rsidR="00D21D36">
        <w:rPr>
          <w:sz w:val="24"/>
          <w:szCs w:val="24"/>
        </w:rPr>
        <w:t xml:space="preserve"> County teams attending together ranged in si</w:t>
      </w:r>
      <w:r w:rsidR="0078324A">
        <w:rPr>
          <w:sz w:val="24"/>
          <w:szCs w:val="24"/>
        </w:rPr>
        <w:t xml:space="preserve">ze from </w:t>
      </w:r>
      <w:r w:rsidR="003B5713">
        <w:rPr>
          <w:sz w:val="24"/>
          <w:szCs w:val="24"/>
        </w:rPr>
        <w:t xml:space="preserve">2 (Lewis County) to 45 (New York City) with an average team size of 9. </w:t>
      </w:r>
      <w:r w:rsidR="0078324A">
        <w:rPr>
          <w:sz w:val="24"/>
          <w:szCs w:val="24"/>
        </w:rPr>
        <w:t xml:space="preserve">   </w:t>
      </w:r>
    </w:p>
    <w:p w14:paraId="75138956" w14:textId="77777777" w:rsidR="00702860" w:rsidRDefault="00702860" w:rsidP="00935C0E">
      <w:pPr>
        <w:rPr>
          <w:sz w:val="24"/>
          <w:szCs w:val="24"/>
        </w:rPr>
      </w:pPr>
      <w:r>
        <w:rPr>
          <w:sz w:val="24"/>
          <w:szCs w:val="24"/>
        </w:rPr>
        <w:t>Figure 1. Training participation including Local Health Department Representation</w:t>
      </w:r>
    </w:p>
    <w:p w14:paraId="75138957" w14:textId="77777777" w:rsidR="00702860" w:rsidRDefault="00C65693" w:rsidP="00702860">
      <w:pPr>
        <w:jc w:val="center"/>
        <w:rPr>
          <w:sz w:val="24"/>
          <w:szCs w:val="24"/>
        </w:rPr>
      </w:pPr>
      <w:r>
        <w:rPr>
          <w:noProof/>
          <w:sz w:val="24"/>
          <w:szCs w:val="24"/>
        </w:rPr>
        <w:drawing>
          <wp:inline distT="0" distB="0" distL="0" distR="0" wp14:anchorId="751389DA" wp14:editId="751389DB">
            <wp:extent cx="4968670" cy="2758440"/>
            <wp:effectExtent l="19050" t="0" r="338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974389" cy="2761615"/>
                    </a:xfrm>
                    <a:prstGeom prst="rect">
                      <a:avLst/>
                    </a:prstGeom>
                    <a:noFill/>
                  </pic:spPr>
                </pic:pic>
              </a:graphicData>
            </a:graphic>
          </wp:inline>
        </w:drawing>
      </w:r>
    </w:p>
    <w:p w14:paraId="75138958" w14:textId="77777777" w:rsidR="00702860" w:rsidRDefault="003B5713" w:rsidP="00935C0E">
      <w:pPr>
        <w:rPr>
          <w:sz w:val="24"/>
          <w:szCs w:val="24"/>
        </w:rPr>
      </w:pPr>
      <w:r>
        <w:rPr>
          <w:sz w:val="24"/>
          <w:szCs w:val="24"/>
        </w:rPr>
        <w:tab/>
        <w:t>Participants at the Action Institute were categorized according to which sector of the community each reported representing: government, community non-for-profit, health care, schools, childcare centers, worksites, parks and recreation departments, transportation agencies and the media</w:t>
      </w:r>
      <w:r w:rsidRPr="008363A5">
        <w:rPr>
          <w:color w:val="000000"/>
          <w:sz w:val="24"/>
          <w:szCs w:val="24"/>
        </w:rPr>
        <w:t>. Participating</w:t>
      </w:r>
      <w:r w:rsidRPr="007B5926">
        <w:rPr>
          <w:color w:val="FF0000"/>
          <w:sz w:val="24"/>
          <w:szCs w:val="24"/>
        </w:rPr>
        <w:t xml:space="preserve"> </w:t>
      </w:r>
      <w:r w:rsidRPr="008363A5">
        <w:rPr>
          <w:color w:val="000000"/>
          <w:sz w:val="24"/>
          <w:szCs w:val="24"/>
        </w:rPr>
        <w:t>partners w</w:t>
      </w:r>
      <w:r>
        <w:rPr>
          <w:sz w:val="24"/>
          <w:szCs w:val="24"/>
        </w:rPr>
        <w:t>ere more frequently com</w:t>
      </w:r>
      <w:r w:rsidR="000A483B">
        <w:rPr>
          <w:sz w:val="24"/>
          <w:szCs w:val="24"/>
        </w:rPr>
        <w:t xml:space="preserve">munity not-for-profit agencies </w:t>
      </w:r>
      <w:r>
        <w:rPr>
          <w:sz w:val="24"/>
          <w:szCs w:val="24"/>
        </w:rPr>
        <w:t xml:space="preserve">and health care </w:t>
      </w:r>
      <w:r>
        <w:rPr>
          <w:sz w:val="24"/>
          <w:szCs w:val="24"/>
        </w:rPr>
        <w:lastRenderedPageBreak/>
        <w:t>organizations.  There was less representation from the media and from Parks and Recreation Departments, and transportation agencies.</w:t>
      </w:r>
    </w:p>
    <w:p w14:paraId="75138959" w14:textId="1297D93E" w:rsidR="0018723B" w:rsidRDefault="00445AD8" w:rsidP="00935C0E">
      <w:pPr>
        <w:rPr>
          <w:sz w:val="24"/>
          <w:szCs w:val="24"/>
        </w:rPr>
      </w:pPr>
      <w:r>
        <w:rPr>
          <w:noProof/>
          <w:sz w:val="24"/>
          <w:szCs w:val="24"/>
        </w:rPr>
        <mc:AlternateContent>
          <mc:Choice Requires="wps">
            <w:drawing>
              <wp:anchor distT="0" distB="0" distL="114300" distR="114300" simplePos="0" relativeHeight="251655680" behindDoc="0" locked="0" layoutInCell="1" allowOverlap="1" wp14:anchorId="751389DC" wp14:editId="23807867">
                <wp:simplePos x="0" y="0"/>
                <wp:positionH relativeFrom="column">
                  <wp:posOffset>1270</wp:posOffset>
                </wp:positionH>
                <wp:positionV relativeFrom="paragraph">
                  <wp:posOffset>10795</wp:posOffset>
                </wp:positionV>
                <wp:extent cx="6311265" cy="1156970"/>
                <wp:effectExtent l="10795" t="10795" r="1206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156970"/>
                        </a:xfrm>
                        <a:prstGeom prst="rect">
                          <a:avLst/>
                        </a:prstGeom>
                        <a:solidFill>
                          <a:srgbClr val="FFFFFF"/>
                        </a:solidFill>
                        <a:ln w="9525">
                          <a:solidFill>
                            <a:srgbClr val="000000"/>
                          </a:solidFill>
                          <a:miter lim="800000"/>
                          <a:headEnd/>
                          <a:tailEnd/>
                        </a:ln>
                      </wps:spPr>
                      <wps:txbx>
                        <w:txbxContent>
                          <w:p w14:paraId="751389EB" w14:textId="77777777" w:rsidR="00190108" w:rsidRPr="00E2350F" w:rsidRDefault="00190108" w:rsidP="0031358A">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Reach:</w:t>
                            </w:r>
                          </w:p>
                          <w:p w14:paraId="751389EC" w14:textId="77777777" w:rsidR="00190108" w:rsidRPr="00E2350F" w:rsidRDefault="00190108" w:rsidP="0018723B">
                            <w:pPr>
                              <w:rPr>
                                <w:b/>
                              </w:rPr>
                            </w:pPr>
                            <w:r>
                              <w:rPr>
                                <w:b/>
                              </w:rPr>
                              <w:t xml:space="preserve"> A small, noncompetitive grant was found to be effective in recruiting a high proportion </w:t>
                            </w:r>
                            <w:r w:rsidRPr="00E01736">
                              <w:rPr>
                                <w:b/>
                                <w:color w:val="000000"/>
                              </w:rPr>
                              <w:t xml:space="preserve">of </w:t>
                            </w:r>
                            <w:r w:rsidR="00731A19" w:rsidRPr="00E01736">
                              <w:rPr>
                                <w:b/>
                                <w:color w:val="000000"/>
                              </w:rPr>
                              <w:t>counties</w:t>
                            </w:r>
                            <w:r w:rsidRPr="00E01736">
                              <w:rPr>
                                <w:b/>
                                <w:color w:val="000000"/>
                              </w:rPr>
                              <w:t xml:space="preserve"> and</w:t>
                            </w:r>
                            <w:r>
                              <w:rPr>
                                <w:b/>
                              </w:rPr>
                              <w:t xml:space="preserve"> should be considered for future training efforts. </w:t>
                            </w:r>
                            <w:r w:rsidR="00731A19" w:rsidRPr="00E01736">
                              <w:rPr>
                                <w:b/>
                                <w:color w:val="000000"/>
                              </w:rPr>
                              <w:t>Counties</w:t>
                            </w:r>
                            <w:r w:rsidRPr="00E01736">
                              <w:rPr>
                                <w:b/>
                                <w:color w:val="000000"/>
                              </w:rPr>
                              <w:t xml:space="preserve"> m</w:t>
                            </w:r>
                            <w:r>
                              <w:rPr>
                                <w:b/>
                              </w:rPr>
                              <w:t xml:space="preserve">ay need assistance to recruit nontraditional partners.  Additional resources may be needed to enable </w:t>
                            </w:r>
                            <w:r w:rsidR="002A4CD8">
                              <w:rPr>
                                <w:b/>
                              </w:rPr>
                              <w:t xml:space="preserve">greater </w:t>
                            </w:r>
                            <w:r>
                              <w:rPr>
                                <w:b/>
                              </w:rPr>
                              <w:t xml:space="preserve">participation </w:t>
                            </w:r>
                            <w:r w:rsidRPr="00E01736">
                              <w:rPr>
                                <w:b/>
                                <w:color w:val="000000"/>
                              </w:rPr>
                              <w:t xml:space="preserve">by </w:t>
                            </w:r>
                            <w:r w:rsidR="00731A19" w:rsidRPr="00E01736">
                              <w:rPr>
                                <w:b/>
                                <w:color w:val="000000"/>
                              </w:rPr>
                              <w:t>smaller counties</w:t>
                            </w:r>
                            <w:r w:rsidRPr="00E01736">
                              <w:rPr>
                                <w:b/>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pt;margin-top:.85pt;width:496.95pt;height:91.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x5LQIAAFgEAAAOAAAAZHJzL2Uyb0RvYy54bWysVNuO0zAQfUfiHyy/0zShl23UdLV0KUJa&#10;LtIuH+A4TmLheIztNilfz9hpu9UCL4g8WB7P+HjmnJmsb4dOkYOwToIuaDqZUiI0h0rqpqDfnnZv&#10;bihxnumKKdCioEfh6O3m9at1b3KRQQuqEpYgiHZ5bwraem/yJHG8FR1zEzBCo7MG2zGPpm2SyrIe&#10;0TuVZNPpIunBVsYCF87h6f3opJuIX9eC+y917YQnqqCYm4+rjWsZ1mSzZnljmWklP6XB/iGLjkmN&#10;j16g7plnZG/lb1Cd5BYc1H7CoUugriUXsQasJp2+qOaxZUbEWpAcZy40uf8Hyz8fvloiq4IuKdGs&#10;Q4mexODJOxhIFtjpjcsx6NFgmB/wGFWOlTrzAPy7Ixq2LdONuLMW+lawCrNLw83k6uqI4wJI2X+C&#10;Cp9hew8RaKhtF6hDMgiio0rHizIhFY6Hi7dpmi3mlHD0pel8sVpG7RKWn68b6/wHAR0Jm4JalD7C&#10;s8OD8yEdlp9DwmsOlKx2Uqlo2KbcKksODNtkF79YwYswpUlf0NU8m48M/BViGr8/QXTSY78r2RX0&#10;5hLE8sDbe13FbvRMqnGPKSt9IjJwN7Loh3KIikWWA8klVEdk1sLY3jiOuGnB/qSkx9YuqPuxZ1ZQ&#10;oj5qVGeVzmZhFqIxmy8zNOy1p7z2MM0RqqCeknG79eP87I2VTYsvnfvhDhXdycj1c1an9LF9owSn&#10;UQvzcW3HqOcfwuYXAAAA//8DAFBLAwQUAAYACAAAACEALUDXR9oAAAAGAQAADwAAAGRycy9kb3du&#10;cmV2LnhtbEyOzW7CMBCE75X6DtZW4oLAAQolaRxEkTj1RKB3E2+TqPE6tQ2Et+/21B7nRzNfvhls&#10;J67oQ+tIwWyagECqnGmpVnA67idrECFqMrpzhAruGGBTPD7kOjPuRge8lrEWPEIh0wqaGPtMylA1&#10;aHWYuh6Js0/nrY4sfS2N1zcet52cJ8lKWt0SPzS6x12D1Vd5sQpW3+Vi/P5hxnS47998ZZdmd1oq&#10;NXoatq8gIg7xrwy/+IwOBTOd3YVMEJ2COffYfQHBYZo+z0CcWa8XKcgil//xix8AAAD//wMAUEsB&#10;Ai0AFAAGAAgAAAAhALaDOJL+AAAA4QEAABMAAAAAAAAAAAAAAAAAAAAAAFtDb250ZW50X1R5cGVz&#10;XS54bWxQSwECLQAUAAYACAAAACEAOP0h/9YAAACUAQAACwAAAAAAAAAAAAAAAAAvAQAAX3JlbHMv&#10;LnJlbHNQSwECLQAUAAYACAAAACEAK11ceS0CAABYBAAADgAAAAAAAAAAAAAAAAAuAgAAZHJzL2Uy&#10;b0RvYy54bWxQSwECLQAUAAYACAAAACEALUDXR9oAAAAGAQAADwAAAAAAAAAAAAAAAACHBAAAZHJz&#10;L2Rvd25yZXYueG1sUEsFBgAAAAAEAAQA8wAAAI4FAAAAAA==&#10;">
                <v:textbox style="mso-fit-shape-to-text:t">
                  <w:txbxContent>
                    <w:p w14:paraId="751389EB" w14:textId="77777777" w:rsidR="00190108" w:rsidRPr="00E2350F" w:rsidRDefault="00190108" w:rsidP="0031358A">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Reach:</w:t>
                      </w:r>
                    </w:p>
                    <w:p w14:paraId="751389EC" w14:textId="77777777" w:rsidR="00190108" w:rsidRPr="00E2350F" w:rsidRDefault="00190108" w:rsidP="0018723B">
                      <w:pPr>
                        <w:rPr>
                          <w:b/>
                        </w:rPr>
                      </w:pPr>
                      <w:r>
                        <w:rPr>
                          <w:b/>
                        </w:rPr>
                        <w:t xml:space="preserve"> A small, noncompetitive grant was found to be effective in recruiting a high proportion </w:t>
                      </w:r>
                      <w:r w:rsidRPr="00E01736">
                        <w:rPr>
                          <w:b/>
                          <w:color w:val="000000"/>
                        </w:rPr>
                        <w:t xml:space="preserve">of </w:t>
                      </w:r>
                      <w:r w:rsidR="00731A19" w:rsidRPr="00E01736">
                        <w:rPr>
                          <w:b/>
                          <w:color w:val="000000"/>
                        </w:rPr>
                        <w:t>counties</w:t>
                      </w:r>
                      <w:r w:rsidRPr="00E01736">
                        <w:rPr>
                          <w:b/>
                          <w:color w:val="000000"/>
                        </w:rPr>
                        <w:t xml:space="preserve"> and</w:t>
                      </w:r>
                      <w:r>
                        <w:rPr>
                          <w:b/>
                        </w:rPr>
                        <w:t xml:space="preserve"> should be considered for future training efforts. </w:t>
                      </w:r>
                      <w:r w:rsidR="00731A19" w:rsidRPr="00E01736">
                        <w:rPr>
                          <w:b/>
                          <w:color w:val="000000"/>
                        </w:rPr>
                        <w:t>Counties</w:t>
                      </w:r>
                      <w:r w:rsidRPr="00E01736">
                        <w:rPr>
                          <w:b/>
                          <w:color w:val="000000"/>
                        </w:rPr>
                        <w:t xml:space="preserve"> m</w:t>
                      </w:r>
                      <w:r>
                        <w:rPr>
                          <w:b/>
                        </w:rPr>
                        <w:t xml:space="preserve">ay need assistance to recruit nontraditional partners.  Additional resources may be needed to enable </w:t>
                      </w:r>
                      <w:r w:rsidR="002A4CD8">
                        <w:rPr>
                          <w:b/>
                        </w:rPr>
                        <w:t xml:space="preserve">greater </w:t>
                      </w:r>
                      <w:r>
                        <w:rPr>
                          <w:b/>
                        </w:rPr>
                        <w:t xml:space="preserve">participation </w:t>
                      </w:r>
                      <w:r w:rsidRPr="00E01736">
                        <w:rPr>
                          <w:b/>
                          <w:color w:val="000000"/>
                        </w:rPr>
                        <w:t xml:space="preserve">by </w:t>
                      </w:r>
                      <w:r w:rsidR="00731A19" w:rsidRPr="00E01736">
                        <w:rPr>
                          <w:b/>
                          <w:color w:val="000000"/>
                        </w:rPr>
                        <w:t>smaller counties</w:t>
                      </w:r>
                      <w:r w:rsidRPr="00E01736">
                        <w:rPr>
                          <w:b/>
                          <w:color w:val="000000"/>
                        </w:rPr>
                        <w:t>.</w:t>
                      </w:r>
                    </w:p>
                  </w:txbxContent>
                </v:textbox>
              </v:shape>
            </w:pict>
          </mc:Fallback>
        </mc:AlternateContent>
      </w:r>
    </w:p>
    <w:p w14:paraId="7513895A" w14:textId="77777777" w:rsidR="0018723B" w:rsidRPr="00CE32F6" w:rsidRDefault="0018723B" w:rsidP="00935C0E">
      <w:pPr>
        <w:rPr>
          <w:sz w:val="24"/>
          <w:szCs w:val="24"/>
        </w:rPr>
      </w:pPr>
    </w:p>
    <w:p w14:paraId="7513895B" w14:textId="77777777" w:rsidR="00E2350F" w:rsidRDefault="00E2350F" w:rsidP="009F28EF">
      <w:pPr>
        <w:rPr>
          <w:b/>
          <w:sz w:val="24"/>
          <w:szCs w:val="24"/>
        </w:rPr>
      </w:pPr>
    </w:p>
    <w:p w14:paraId="7513895C" w14:textId="77777777" w:rsidR="00E2350F" w:rsidRDefault="00E2350F" w:rsidP="009F28EF">
      <w:pPr>
        <w:rPr>
          <w:b/>
          <w:sz w:val="24"/>
          <w:szCs w:val="24"/>
        </w:rPr>
      </w:pPr>
    </w:p>
    <w:p w14:paraId="7513895D" w14:textId="77777777" w:rsidR="003A234E" w:rsidRDefault="009F28EF" w:rsidP="009F28EF">
      <w:pPr>
        <w:rPr>
          <w:b/>
          <w:sz w:val="24"/>
          <w:szCs w:val="24"/>
        </w:rPr>
      </w:pPr>
      <w:r>
        <w:rPr>
          <w:b/>
          <w:sz w:val="24"/>
          <w:szCs w:val="24"/>
        </w:rPr>
        <w:t>Efficacy</w:t>
      </w:r>
    </w:p>
    <w:p w14:paraId="7513895E" w14:textId="77777777" w:rsidR="009F28EF" w:rsidRDefault="009F28EF" w:rsidP="009F28EF">
      <w:pPr>
        <w:rPr>
          <w:sz w:val="24"/>
          <w:szCs w:val="24"/>
        </w:rPr>
      </w:pPr>
      <w:r>
        <w:rPr>
          <w:sz w:val="24"/>
          <w:szCs w:val="24"/>
        </w:rPr>
        <w:t>Efficacy is defined in the RE-AIM framework as</w:t>
      </w:r>
      <w:r w:rsidR="00C472D5">
        <w:rPr>
          <w:sz w:val="24"/>
          <w:szCs w:val="24"/>
        </w:rPr>
        <w:t xml:space="preserve"> “the success rate if implemented as in guidelines</w:t>
      </w:r>
      <w:r w:rsidR="005835C7">
        <w:rPr>
          <w:sz w:val="24"/>
          <w:szCs w:val="24"/>
        </w:rPr>
        <w:t>; defined as positive outcomes minus negative outcomes”</w:t>
      </w:r>
      <w:r w:rsidR="006A7DE0">
        <w:rPr>
          <w:sz w:val="24"/>
          <w:szCs w:val="24"/>
        </w:rPr>
        <w:t>.</w:t>
      </w:r>
      <w:r w:rsidR="00C472D5">
        <w:rPr>
          <w:sz w:val="24"/>
          <w:szCs w:val="24"/>
          <w:vertAlign w:val="superscript"/>
        </w:rPr>
        <w:t>2</w:t>
      </w:r>
      <w:r w:rsidR="00C472D5">
        <w:rPr>
          <w:sz w:val="24"/>
          <w:szCs w:val="24"/>
        </w:rPr>
        <w:t xml:space="preserve"> </w:t>
      </w:r>
      <w:r w:rsidR="00C80ADA">
        <w:rPr>
          <w:sz w:val="24"/>
          <w:szCs w:val="24"/>
        </w:rPr>
        <w:t xml:space="preserve"> </w:t>
      </w:r>
      <w:r w:rsidR="00D4058C">
        <w:rPr>
          <w:sz w:val="24"/>
          <w:szCs w:val="24"/>
        </w:rPr>
        <w:t xml:space="preserve">For the purpose of this evaluation, the measure of </w:t>
      </w:r>
      <w:r w:rsidR="005835C7">
        <w:rPr>
          <w:sz w:val="24"/>
          <w:szCs w:val="24"/>
        </w:rPr>
        <w:t>positive outcomes</w:t>
      </w:r>
      <w:r w:rsidR="00D4058C">
        <w:rPr>
          <w:sz w:val="24"/>
          <w:szCs w:val="24"/>
        </w:rPr>
        <w:t xml:space="preserve"> </w:t>
      </w:r>
      <w:r w:rsidR="005835C7">
        <w:rPr>
          <w:sz w:val="24"/>
          <w:szCs w:val="24"/>
        </w:rPr>
        <w:t xml:space="preserve">of the Initiative </w:t>
      </w:r>
      <w:r w:rsidR="00D4058C">
        <w:rPr>
          <w:sz w:val="24"/>
          <w:szCs w:val="24"/>
        </w:rPr>
        <w:t xml:space="preserve">was the degree to which participants reported self-confidence in applying the skills and concepts </w:t>
      </w:r>
      <w:r w:rsidR="001A7AAB">
        <w:rPr>
          <w:sz w:val="24"/>
          <w:szCs w:val="24"/>
        </w:rPr>
        <w:t>taught</w:t>
      </w:r>
      <w:r w:rsidR="008951DA">
        <w:rPr>
          <w:sz w:val="24"/>
          <w:szCs w:val="24"/>
        </w:rPr>
        <w:t xml:space="preserve"> </w:t>
      </w:r>
      <w:r w:rsidR="001A7AAB">
        <w:rPr>
          <w:sz w:val="24"/>
          <w:szCs w:val="24"/>
        </w:rPr>
        <w:t>in the Initiative.</w:t>
      </w:r>
      <w:r w:rsidR="008951DA">
        <w:rPr>
          <w:sz w:val="24"/>
          <w:szCs w:val="24"/>
        </w:rPr>
        <w:t xml:space="preserve"> </w:t>
      </w:r>
      <w:r w:rsidR="00D17BFC">
        <w:rPr>
          <w:sz w:val="24"/>
          <w:szCs w:val="24"/>
        </w:rPr>
        <w:t xml:space="preserve">Participants made ratings from 0 to 100 (0 = cannot do at all; 50 = moderately confident can do; 100 = highly confident can do).  </w:t>
      </w:r>
      <w:r w:rsidR="008951DA">
        <w:rPr>
          <w:sz w:val="24"/>
          <w:szCs w:val="24"/>
        </w:rPr>
        <w:t>The training was provided by trainers</w:t>
      </w:r>
      <w:r w:rsidR="00C80ADA">
        <w:rPr>
          <w:sz w:val="24"/>
          <w:szCs w:val="24"/>
        </w:rPr>
        <w:t xml:space="preserve"> from The Prevention Institute in Oakland, California who are</w:t>
      </w:r>
      <w:r w:rsidR="008951DA">
        <w:rPr>
          <w:sz w:val="24"/>
          <w:szCs w:val="24"/>
        </w:rPr>
        <w:t xml:space="preserve"> </w:t>
      </w:r>
      <w:r w:rsidR="00C4595C">
        <w:rPr>
          <w:sz w:val="24"/>
          <w:szCs w:val="24"/>
        </w:rPr>
        <w:t>expert</w:t>
      </w:r>
      <w:r w:rsidR="00C80ADA">
        <w:rPr>
          <w:sz w:val="24"/>
          <w:szCs w:val="24"/>
        </w:rPr>
        <w:t>s</w:t>
      </w:r>
      <w:r w:rsidR="00C4595C">
        <w:rPr>
          <w:sz w:val="24"/>
          <w:szCs w:val="24"/>
        </w:rPr>
        <w:t xml:space="preserve"> </w:t>
      </w:r>
      <w:r w:rsidR="008951DA">
        <w:rPr>
          <w:sz w:val="24"/>
          <w:szCs w:val="24"/>
        </w:rPr>
        <w:t xml:space="preserve">in defining and implementing </w:t>
      </w:r>
      <w:r w:rsidR="002B7E2D">
        <w:rPr>
          <w:sz w:val="24"/>
          <w:szCs w:val="24"/>
        </w:rPr>
        <w:t xml:space="preserve"> </w:t>
      </w:r>
      <w:r w:rsidR="007E2B88">
        <w:rPr>
          <w:sz w:val="24"/>
          <w:szCs w:val="24"/>
        </w:rPr>
        <w:t xml:space="preserve"> </w:t>
      </w:r>
      <w:r w:rsidR="008951DA">
        <w:rPr>
          <w:sz w:val="24"/>
          <w:szCs w:val="24"/>
        </w:rPr>
        <w:t>PSE change</w:t>
      </w:r>
      <w:r w:rsidR="00C4595C">
        <w:rPr>
          <w:sz w:val="24"/>
          <w:szCs w:val="24"/>
        </w:rPr>
        <w:t>.</w:t>
      </w:r>
      <w:r w:rsidR="001A7AAB">
        <w:rPr>
          <w:sz w:val="24"/>
          <w:szCs w:val="24"/>
        </w:rPr>
        <w:t xml:space="preserve"> </w:t>
      </w:r>
      <w:r w:rsidR="00C80ADA">
        <w:rPr>
          <w:sz w:val="24"/>
          <w:szCs w:val="24"/>
        </w:rPr>
        <w:t xml:space="preserve"> </w:t>
      </w:r>
      <w:r w:rsidR="001A7AAB">
        <w:rPr>
          <w:sz w:val="24"/>
          <w:szCs w:val="24"/>
        </w:rPr>
        <w:t xml:space="preserve">For those skills measured at three points in time, </w:t>
      </w:r>
      <w:r w:rsidR="00731A19" w:rsidRPr="00CE6FD8">
        <w:rPr>
          <w:color w:val="000000"/>
          <w:sz w:val="24"/>
          <w:szCs w:val="24"/>
        </w:rPr>
        <w:t>county partnerships’</w:t>
      </w:r>
      <w:r w:rsidR="001A7AAB" w:rsidRPr="00CE6FD8">
        <w:rPr>
          <w:color w:val="000000"/>
          <w:sz w:val="24"/>
          <w:szCs w:val="24"/>
        </w:rPr>
        <w:t xml:space="preserve"> assessment of their own skills increased across time</w:t>
      </w:r>
      <w:r w:rsidR="00C80ADA">
        <w:rPr>
          <w:color w:val="000000"/>
          <w:sz w:val="24"/>
          <w:szCs w:val="24"/>
        </w:rPr>
        <w:t>. T</w:t>
      </w:r>
      <w:r w:rsidR="003A234E" w:rsidRPr="00CE6FD8">
        <w:rPr>
          <w:color w:val="000000"/>
          <w:sz w:val="24"/>
          <w:szCs w:val="24"/>
        </w:rPr>
        <w:t>he greatest gains in self-</w:t>
      </w:r>
      <w:r w:rsidR="003A234E">
        <w:rPr>
          <w:sz w:val="24"/>
          <w:szCs w:val="24"/>
        </w:rPr>
        <w:t>confidence was seen in identifying necessary resources and technical support</w:t>
      </w:r>
      <w:r w:rsidR="00C80ADA">
        <w:rPr>
          <w:sz w:val="24"/>
          <w:szCs w:val="24"/>
        </w:rPr>
        <w:t xml:space="preserve"> </w:t>
      </w:r>
      <w:r w:rsidR="003A234E">
        <w:rPr>
          <w:sz w:val="24"/>
          <w:szCs w:val="24"/>
        </w:rPr>
        <w:t xml:space="preserve">and maintaining coalition vitality.  </w:t>
      </w:r>
      <w:r w:rsidR="005835C7">
        <w:rPr>
          <w:sz w:val="24"/>
          <w:szCs w:val="24"/>
        </w:rPr>
        <w:t>B</w:t>
      </w:r>
      <w:r w:rsidR="001A7AAB">
        <w:rPr>
          <w:sz w:val="24"/>
          <w:szCs w:val="24"/>
        </w:rPr>
        <w:t xml:space="preserve">y the three-month follow-up period, </w:t>
      </w:r>
      <w:r w:rsidR="00E65E05">
        <w:rPr>
          <w:sz w:val="24"/>
          <w:szCs w:val="24"/>
        </w:rPr>
        <w:t xml:space="preserve">respondents reported </w:t>
      </w:r>
      <w:r w:rsidR="001A7AAB">
        <w:rPr>
          <w:sz w:val="24"/>
          <w:szCs w:val="24"/>
        </w:rPr>
        <w:t xml:space="preserve">confidence </w:t>
      </w:r>
      <w:r w:rsidR="00E65E05">
        <w:rPr>
          <w:sz w:val="24"/>
          <w:szCs w:val="24"/>
        </w:rPr>
        <w:t xml:space="preserve">that </w:t>
      </w:r>
      <w:r w:rsidR="001A7AAB">
        <w:rPr>
          <w:sz w:val="24"/>
          <w:szCs w:val="24"/>
        </w:rPr>
        <w:t>was between moderately and highly confident.</w:t>
      </w:r>
      <w:r w:rsidR="003A234E">
        <w:rPr>
          <w:sz w:val="24"/>
          <w:szCs w:val="24"/>
        </w:rPr>
        <w:t xml:space="preserve"> </w:t>
      </w:r>
      <w:r w:rsidR="001A7AAB">
        <w:rPr>
          <w:sz w:val="24"/>
          <w:szCs w:val="24"/>
        </w:rPr>
        <w:t xml:space="preserve"> For the additional skills taught during the Action Institute</w:t>
      </w:r>
      <w:r w:rsidR="001A7AAB" w:rsidRPr="00CE6FD8">
        <w:rPr>
          <w:color w:val="000000"/>
          <w:sz w:val="24"/>
          <w:szCs w:val="24"/>
        </w:rPr>
        <w:t xml:space="preserve">, </w:t>
      </w:r>
      <w:r w:rsidR="00731A19" w:rsidRPr="00CE6FD8">
        <w:rPr>
          <w:color w:val="000000"/>
          <w:sz w:val="24"/>
          <w:szCs w:val="24"/>
        </w:rPr>
        <w:t>County partnerships</w:t>
      </w:r>
      <w:r w:rsidR="001A7AAB">
        <w:rPr>
          <w:sz w:val="24"/>
          <w:szCs w:val="24"/>
        </w:rPr>
        <w:t xml:space="preserve"> were again quite confident of their abilities to implement taught skills, </w:t>
      </w:r>
      <w:r w:rsidR="00791308">
        <w:rPr>
          <w:sz w:val="24"/>
          <w:szCs w:val="24"/>
        </w:rPr>
        <w:t xml:space="preserve">reporting scores </w:t>
      </w:r>
      <w:r w:rsidR="00190108">
        <w:rPr>
          <w:sz w:val="24"/>
          <w:szCs w:val="24"/>
        </w:rPr>
        <w:t xml:space="preserve">which </w:t>
      </w:r>
      <w:r w:rsidR="001A7AAB">
        <w:rPr>
          <w:sz w:val="24"/>
          <w:szCs w:val="24"/>
        </w:rPr>
        <w:t>rang</w:t>
      </w:r>
      <w:r w:rsidR="00190108">
        <w:rPr>
          <w:sz w:val="24"/>
          <w:szCs w:val="24"/>
        </w:rPr>
        <w:t>ed</w:t>
      </w:r>
      <w:r w:rsidR="001A7AAB">
        <w:rPr>
          <w:sz w:val="24"/>
          <w:szCs w:val="24"/>
        </w:rPr>
        <w:t xml:space="preserve"> from 76 to 87 (Table 1). </w:t>
      </w:r>
      <w:r w:rsidR="00D4058C">
        <w:rPr>
          <w:sz w:val="24"/>
          <w:szCs w:val="24"/>
        </w:rPr>
        <w:t xml:space="preserve"> </w:t>
      </w:r>
      <w:r w:rsidR="002B7E2D">
        <w:rPr>
          <w:sz w:val="24"/>
          <w:szCs w:val="24"/>
        </w:rPr>
        <w:t xml:space="preserve">There were no instances where participant self-confidence did not improve at post or follow up. </w:t>
      </w:r>
    </w:p>
    <w:p w14:paraId="7513895F" w14:textId="54E970D2" w:rsidR="00E2350F" w:rsidRDefault="00445AD8" w:rsidP="009F28EF">
      <w:pP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751389DD" wp14:editId="130C2B65">
                <wp:simplePos x="0" y="0"/>
                <wp:positionH relativeFrom="column">
                  <wp:posOffset>-7620</wp:posOffset>
                </wp:positionH>
                <wp:positionV relativeFrom="paragraph">
                  <wp:posOffset>78105</wp:posOffset>
                </wp:positionV>
                <wp:extent cx="6311265" cy="1402080"/>
                <wp:effectExtent l="11430" t="11430" r="1143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402080"/>
                        </a:xfrm>
                        <a:prstGeom prst="rect">
                          <a:avLst/>
                        </a:prstGeom>
                        <a:solidFill>
                          <a:srgbClr val="FFFFFF"/>
                        </a:solidFill>
                        <a:ln w="9525">
                          <a:solidFill>
                            <a:srgbClr val="000000"/>
                          </a:solidFill>
                          <a:miter lim="800000"/>
                          <a:headEnd/>
                          <a:tailEnd/>
                        </a:ln>
                      </wps:spPr>
                      <wps:txbx>
                        <w:txbxContent>
                          <w:p w14:paraId="751389ED" w14:textId="77777777" w:rsidR="00082020" w:rsidRDefault="00190108" w:rsidP="008951DA">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Efficacy</w:t>
                            </w:r>
                          </w:p>
                          <w:p w14:paraId="751389EE" w14:textId="77777777" w:rsidR="008951DA" w:rsidRDefault="008951DA" w:rsidP="008951DA">
                            <w:pPr>
                              <w:jc w:val="center"/>
                              <w:rPr>
                                <w:b/>
                                <w:sz w:val="24"/>
                                <w:szCs w:val="24"/>
                              </w:rPr>
                            </w:pPr>
                            <w:r>
                              <w:rPr>
                                <w:b/>
                                <w:sz w:val="24"/>
                                <w:szCs w:val="24"/>
                              </w:rPr>
                              <w:t xml:space="preserve">Expert training in the implementation of </w:t>
                            </w:r>
                            <w:r w:rsidR="000B0415">
                              <w:rPr>
                                <w:b/>
                                <w:sz w:val="24"/>
                                <w:szCs w:val="24"/>
                              </w:rPr>
                              <w:t>p</w:t>
                            </w:r>
                            <w:r>
                              <w:rPr>
                                <w:b/>
                                <w:sz w:val="24"/>
                                <w:szCs w:val="24"/>
                              </w:rPr>
                              <w:t xml:space="preserve">olicy </w:t>
                            </w:r>
                            <w:r w:rsidR="000B0415">
                              <w:rPr>
                                <w:b/>
                                <w:sz w:val="24"/>
                                <w:szCs w:val="24"/>
                              </w:rPr>
                              <w:t>s</w:t>
                            </w:r>
                            <w:r>
                              <w:rPr>
                                <w:b/>
                                <w:sz w:val="24"/>
                                <w:szCs w:val="24"/>
                              </w:rPr>
                              <w:t xml:space="preserve">ystems and </w:t>
                            </w:r>
                            <w:r w:rsidR="000B0415">
                              <w:rPr>
                                <w:b/>
                                <w:sz w:val="24"/>
                                <w:szCs w:val="24"/>
                              </w:rPr>
                              <w:t>e</w:t>
                            </w:r>
                            <w:r>
                              <w:rPr>
                                <w:b/>
                                <w:sz w:val="24"/>
                                <w:szCs w:val="24"/>
                              </w:rPr>
                              <w:t xml:space="preserve">nvironmental change </w:t>
                            </w:r>
                            <w:r w:rsidR="00C4595C">
                              <w:rPr>
                                <w:b/>
                                <w:sz w:val="24"/>
                                <w:szCs w:val="24"/>
                              </w:rPr>
                              <w:t>was</w:t>
                            </w:r>
                            <w:r>
                              <w:rPr>
                                <w:b/>
                                <w:sz w:val="24"/>
                                <w:szCs w:val="24"/>
                              </w:rPr>
                              <w:t xml:space="preserve"> effective in increasing the confidence of </w:t>
                            </w:r>
                            <w:r w:rsidR="00731A19" w:rsidRPr="00E01736">
                              <w:rPr>
                                <w:b/>
                                <w:color w:val="000000"/>
                                <w:sz w:val="24"/>
                                <w:szCs w:val="24"/>
                              </w:rPr>
                              <w:t xml:space="preserve">counties </w:t>
                            </w:r>
                            <w:r w:rsidRPr="00E01736">
                              <w:rPr>
                                <w:b/>
                                <w:color w:val="000000"/>
                                <w:sz w:val="24"/>
                                <w:szCs w:val="24"/>
                              </w:rPr>
                              <w:t>t</w:t>
                            </w:r>
                            <w:r>
                              <w:rPr>
                                <w:b/>
                                <w:sz w:val="24"/>
                                <w:szCs w:val="24"/>
                              </w:rPr>
                              <w:t xml:space="preserve">o implement PSE </w:t>
                            </w:r>
                            <w:r w:rsidR="00C4595C">
                              <w:rPr>
                                <w:b/>
                                <w:sz w:val="24"/>
                                <w:szCs w:val="24"/>
                              </w:rPr>
                              <w:t>s</w:t>
                            </w:r>
                            <w:r>
                              <w:rPr>
                                <w:b/>
                                <w:sz w:val="24"/>
                                <w:szCs w:val="24"/>
                              </w:rPr>
                              <w:t xml:space="preserve">trategies. Offering expert training in PSE change with clear deliverables should be considered as a kick off to </w:t>
                            </w:r>
                            <w:r w:rsidR="00452C05">
                              <w:rPr>
                                <w:b/>
                                <w:sz w:val="24"/>
                                <w:szCs w:val="24"/>
                              </w:rPr>
                              <w:t xml:space="preserve">any future initiatives for that expect the implementation of PSE change strategies. </w:t>
                            </w:r>
                          </w:p>
                          <w:p w14:paraId="751389EF" w14:textId="77777777" w:rsidR="00FD7C70" w:rsidRPr="00FD7C70" w:rsidRDefault="00FD7C70" w:rsidP="00E2350F">
                            <w:pPr>
                              <w:jc w:val="center"/>
                              <w:rPr>
                                <w:sz w:val="24"/>
                                <w:szCs w:val="24"/>
                              </w:rPr>
                            </w:pPr>
                            <w:r>
                              <w:rPr>
                                <w:sz w:val="24"/>
                                <w:szCs w:val="24"/>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6.15pt;width:496.95pt;height:1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EALg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O5CuwMxhUY9GAwzI94jCrHSp25B/7dEQ3bjulW3FoLQydYjdll4WZycXXCcQGkGj5B&#10;jc+wvYcINDa2D9QhGQTRUaWnszIhFY6Hy6ssy5cLSjj6snmap6uoXcKK03Vjnf8goCdhU1KL0kd4&#10;drh3PqTDilNIeM2BkvVOKhUN21ZbZcmBYZvs4hcreBGmNBlKer3IFxMDf4VI4/cniF567Hcl+5Ku&#10;zkGsCLy913XsRs+kmvaYstJHIgN3E4t+rMaoWH7Sp4L6CZm1MLU3jiNuOrA/KRmwtUvqfuyZFZSo&#10;jxrVuc7m8zAL0Zgv3uZo2EtPdelhmiNUST0l03brp/nZGyvbDl+a+kHDLSrayMh1kH7K6pg+tm+U&#10;4DhqYT4u7Rj164eweQYAAP//AwBQSwMEFAAGAAgAAAAhAPGb7vHfAAAACQEAAA8AAABkcnMvZG93&#10;bnJldi54bWxMj8FOwzAQRO9I/IO1SFxQ68RBbRPiVAgJBDcoCK5uvE0i7HWw3TT8PeYEx9kZzbyt&#10;t7M1bEIfBkcS8mUGDKl1eqBOwtvr/WIDLERFWhlHKOEbA2yb87NaVdqd6AWnXexYKqFQKQl9jGPF&#10;eWh7tCos3YiUvIPzVsUkfce1V6dUbg0XWbbiVg2UFno14l2P7efuaCVsrh+nj/BUPL+3q4Mp49V6&#10;evjyUl5ezLc3wCLO8S8Mv/gJHZrEtHdH0oEZCYtcpGS6iwJY8stSrIHtJYiiyIE3Nf//QfMDAAD/&#10;/wMAUEsBAi0AFAAGAAgAAAAhALaDOJL+AAAA4QEAABMAAAAAAAAAAAAAAAAAAAAAAFtDb250ZW50&#10;X1R5cGVzXS54bWxQSwECLQAUAAYACAAAACEAOP0h/9YAAACUAQAACwAAAAAAAAAAAAAAAAAvAQAA&#10;X3JlbHMvLnJlbHNQSwECLQAUAAYACAAAACEA5I2BAC4CAABYBAAADgAAAAAAAAAAAAAAAAAuAgAA&#10;ZHJzL2Uyb0RvYy54bWxQSwECLQAUAAYACAAAACEA8Zvu8d8AAAAJAQAADwAAAAAAAAAAAAAAAACI&#10;BAAAZHJzL2Rvd25yZXYueG1sUEsFBgAAAAAEAAQA8wAAAJQFAAAAAA==&#10;">
                <v:textbox>
                  <w:txbxContent>
                    <w:p w14:paraId="751389ED" w14:textId="77777777" w:rsidR="00082020" w:rsidRDefault="00190108" w:rsidP="008951DA">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Efficacy</w:t>
                      </w:r>
                    </w:p>
                    <w:p w14:paraId="751389EE" w14:textId="77777777" w:rsidR="008951DA" w:rsidRDefault="008951DA" w:rsidP="008951DA">
                      <w:pPr>
                        <w:jc w:val="center"/>
                        <w:rPr>
                          <w:b/>
                          <w:sz w:val="24"/>
                          <w:szCs w:val="24"/>
                        </w:rPr>
                      </w:pPr>
                      <w:r>
                        <w:rPr>
                          <w:b/>
                          <w:sz w:val="24"/>
                          <w:szCs w:val="24"/>
                        </w:rPr>
                        <w:t xml:space="preserve">Expert training in the implementation of </w:t>
                      </w:r>
                      <w:r w:rsidR="000B0415">
                        <w:rPr>
                          <w:b/>
                          <w:sz w:val="24"/>
                          <w:szCs w:val="24"/>
                        </w:rPr>
                        <w:t>p</w:t>
                      </w:r>
                      <w:r>
                        <w:rPr>
                          <w:b/>
                          <w:sz w:val="24"/>
                          <w:szCs w:val="24"/>
                        </w:rPr>
                        <w:t xml:space="preserve">olicy </w:t>
                      </w:r>
                      <w:r w:rsidR="000B0415">
                        <w:rPr>
                          <w:b/>
                          <w:sz w:val="24"/>
                          <w:szCs w:val="24"/>
                        </w:rPr>
                        <w:t>s</w:t>
                      </w:r>
                      <w:r>
                        <w:rPr>
                          <w:b/>
                          <w:sz w:val="24"/>
                          <w:szCs w:val="24"/>
                        </w:rPr>
                        <w:t xml:space="preserve">ystems and </w:t>
                      </w:r>
                      <w:r w:rsidR="000B0415">
                        <w:rPr>
                          <w:b/>
                          <w:sz w:val="24"/>
                          <w:szCs w:val="24"/>
                        </w:rPr>
                        <w:t>e</w:t>
                      </w:r>
                      <w:r>
                        <w:rPr>
                          <w:b/>
                          <w:sz w:val="24"/>
                          <w:szCs w:val="24"/>
                        </w:rPr>
                        <w:t xml:space="preserve">nvironmental change </w:t>
                      </w:r>
                      <w:r w:rsidR="00C4595C">
                        <w:rPr>
                          <w:b/>
                          <w:sz w:val="24"/>
                          <w:szCs w:val="24"/>
                        </w:rPr>
                        <w:t>was</w:t>
                      </w:r>
                      <w:r>
                        <w:rPr>
                          <w:b/>
                          <w:sz w:val="24"/>
                          <w:szCs w:val="24"/>
                        </w:rPr>
                        <w:t xml:space="preserve"> effective in increasing the confidence of </w:t>
                      </w:r>
                      <w:r w:rsidR="00731A19" w:rsidRPr="00E01736">
                        <w:rPr>
                          <w:b/>
                          <w:color w:val="000000"/>
                          <w:sz w:val="24"/>
                          <w:szCs w:val="24"/>
                        </w:rPr>
                        <w:t xml:space="preserve">counties </w:t>
                      </w:r>
                      <w:r w:rsidRPr="00E01736">
                        <w:rPr>
                          <w:b/>
                          <w:color w:val="000000"/>
                          <w:sz w:val="24"/>
                          <w:szCs w:val="24"/>
                        </w:rPr>
                        <w:t>t</w:t>
                      </w:r>
                      <w:r>
                        <w:rPr>
                          <w:b/>
                          <w:sz w:val="24"/>
                          <w:szCs w:val="24"/>
                        </w:rPr>
                        <w:t xml:space="preserve">o implement PSE </w:t>
                      </w:r>
                      <w:r w:rsidR="00C4595C">
                        <w:rPr>
                          <w:b/>
                          <w:sz w:val="24"/>
                          <w:szCs w:val="24"/>
                        </w:rPr>
                        <w:t>s</w:t>
                      </w:r>
                      <w:r>
                        <w:rPr>
                          <w:b/>
                          <w:sz w:val="24"/>
                          <w:szCs w:val="24"/>
                        </w:rPr>
                        <w:t xml:space="preserve">trategies. Offering expert training in PSE change with clear deliverables should be considered as a kick off to </w:t>
                      </w:r>
                      <w:r w:rsidR="00452C05">
                        <w:rPr>
                          <w:b/>
                          <w:sz w:val="24"/>
                          <w:szCs w:val="24"/>
                        </w:rPr>
                        <w:t xml:space="preserve">any future initiatives for that expect the implementation of PSE change strategies. </w:t>
                      </w:r>
                    </w:p>
                    <w:p w14:paraId="751389EF" w14:textId="77777777" w:rsidR="00FD7C70" w:rsidRPr="00FD7C70" w:rsidRDefault="00FD7C70" w:rsidP="00E2350F">
                      <w:pPr>
                        <w:jc w:val="center"/>
                        <w:rPr>
                          <w:sz w:val="24"/>
                          <w:szCs w:val="24"/>
                        </w:rPr>
                      </w:pPr>
                      <w:r>
                        <w:rPr>
                          <w:sz w:val="24"/>
                          <w:szCs w:val="24"/>
                        </w:rPr>
                        <w:t>T</w:t>
                      </w:r>
                    </w:p>
                  </w:txbxContent>
                </v:textbox>
              </v:shape>
            </w:pict>
          </mc:Fallback>
        </mc:AlternateContent>
      </w:r>
    </w:p>
    <w:p w14:paraId="75138960" w14:textId="77777777" w:rsidR="00E2350F" w:rsidRDefault="00E2350F" w:rsidP="009F28EF">
      <w:pPr>
        <w:rPr>
          <w:b/>
          <w:sz w:val="24"/>
          <w:szCs w:val="24"/>
        </w:rPr>
      </w:pPr>
    </w:p>
    <w:p w14:paraId="75138961" w14:textId="77777777" w:rsidR="005775C5" w:rsidRDefault="005775C5" w:rsidP="009F28EF">
      <w:pPr>
        <w:rPr>
          <w:b/>
          <w:sz w:val="24"/>
          <w:szCs w:val="24"/>
        </w:rPr>
      </w:pPr>
    </w:p>
    <w:p w14:paraId="75138962" w14:textId="77777777" w:rsidR="005775C5" w:rsidRDefault="005775C5" w:rsidP="009F28EF">
      <w:pPr>
        <w:rPr>
          <w:b/>
          <w:sz w:val="24"/>
          <w:szCs w:val="24"/>
        </w:rPr>
      </w:pPr>
    </w:p>
    <w:p w14:paraId="75138963" w14:textId="77777777" w:rsidR="005775C5" w:rsidRDefault="005775C5" w:rsidP="009F28EF">
      <w:pPr>
        <w:rPr>
          <w:b/>
          <w:sz w:val="24"/>
          <w:szCs w:val="24"/>
        </w:rPr>
      </w:pPr>
    </w:p>
    <w:p w14:paraId="75138964" w14:textId="77777777" w:rsidR="003A234E" w:rsidRDefault="003A234E" w:rsidP="009F28EF">
      <w:pPr>
        <w:rPr>
          <w:b/>
          <w:sz w:val="24"/>
          <w:szCs w:val="24"/>
        </w:rPr>
      </w:pPr>
      <w:r>
        <w:rPr>
          <w:b/>
          <w:sz w:val="24"/>
          <w:szCs w:val="24"/>
        </w:rPr>
        <w:t>Adoption</w:t>
      </w:r>
    </w:p>
    <w:p w14:paraId="75138965" w14:textId="77777777" w:rsidR="005835C7" w:rsidRDefault="003A234E" w:rsidP="009F28EF">
      <w:pPr>
        <w:rPr>
          <w:sz w:val="24"/>
          <w:szCs w:val="24"/>
        </w:rPr>
      </w:pPr>
      <w:r>
        <w:rPr>
          <w:sz w:val="24"/>
          <w:szCs w:val="24"/>
        </w:rPr>
        <w:t>Adoption is defined in the RE-AIM framework as “the proportion and representativeness of settings that adopt this intervention</w:t>
      </w:r>
      <w:r w:rsidR="006A7DE0">
        <w:rPr>
          <w:sz w:val="24"/>
          <w:szCs w:val="24"/>
        </w:rPr>
        <w:t>”.</w:t>
      </w:r>
      <w:r w:rsidR="005835C7">
        <w:rPr>
          <w:sz w:val="24"/>
          <w:szCs w:val="24"/>
          <w:vertAlign w:val="superscript"/>
        </w:rPr>
        <w:t>2</w:t>
      </w:r>
      <w:r w:rsidR="006A7DE0">
        <w:rPr>
          <w:sz w:val="24"/>
          <w:szCs w:val="24"/>
        </w:rPr>
        <w:t xml:space="preserve"> </w:t>
      </w:r>
      <w:r>
        <w:rPr>
          <w:sz w:val="24"/>
          <w:szCs w:val="24"/>
        </w:rPr>
        <w:t xml:space="preserve"> For the purposes of this evaluation, the outcome measure for adoption was </w:t>
      </w:r>
      <w:r w:rsidR="00174617">
        <w:rPr>
          <w:sz w:val="24"/>
          <w:szCs w:val="24"/>
        </w:rPr>
        <w:t xml:space="preserve">the proportion of </w:t>
      </w:r>
      <w:r w:rsidR="006D4B2A">
        <w:rPr>
          <w:sz w:val="24"/>
          <w:szCs w:val="24"/>
        </w:rPr>
        <w:t>county coalitions</w:t>
      </w:r>
      <w:r w:rsidR="00174617">
        <w:rPr>
          <w:sz w:val="24"/>
          <w:szCs w:val="24"/>
        </w:rPr>
        <w:t xml:space="preserve"> which were able to begin work on least one of the strategies </w:t>
      </w:r>
      <w:r w:rsidR="00174617">
        <w:rPr>
          <w:sz w:val="24"/>
          <w:szCs w:val="24"/>
        </w:rPr>
        <w:lastRenderedPageBreak/>
        <w:t>from their action plan</w:t>
      </w:r>
      <w:r w:rsidR="005835C7">
        <w:rPr>
          <w:sz w:val="24"/>
          <w:szCs w:val="24"/>
        </w:rPr>
        <w:t>s</w:t>
      </w:r>
      <w:r w:rsidR="00174617">
        <w:rPr>
          <w:sz w:val="24"/>
          <w:szCs w:val="24"/>
        </w:rPr>
        <w:t xml:space="preserve"> within a six-month period. Among the 56 </w:t>
      </w:r>
      <w:r w:rsidR="00E65C5F" w:rsidRPr="00CE6FD8">
        <w:rPr>
          <w:color w:val="000000"/>
          <w:sz w:val="24"/>
          <w:szCs w:val="24"/>
        </w:rPr>
        <w:t>counties</w:t>
      </w:r>
      <w:r w:rsidR="00174617" w:rsidRPr="00CE6FD8">
        <w:rPr>
          <w:color w:val="000000"/>
          <w:sz w:val="24"/>
          <w:szCs w:val="24"/>
        </w:rPr>
        <w:t xml:space="preserve"> </w:t>
      </w:r>
      <w:r w:rsidR="006D4B2A">
        <w:rPr>
          <w:sz w:val="24"/>
          <w:szCs w:val="24"/>
        </w:rPr>
        <w:t>that</w:t>
      </w:r>
      <w:r w:rsidR="00174617">
        <w:rPr>
          <w:sz w:val="24"/>
          <w:szCs w:val="24"/>
        </w:rPr>
        <w:t xml:space="preserve"> participated in the Initiative, </w:t>
      </w:r>
      <w:r w:rsidR="00C039EB">
        <w:rPr>
          <w:sz w:val="24"/>
          <w:szCs w:val="24"/>
        </w:rPr>
        <w:t>52 (</w:t>
      </w:r>
      <w:r w:rsidR="00174617">
        <w:rPr>
          <w:sz w:val="24"/>
          <w:szCs w:val="24"/>
        </w:rPr>
        <w:t>93%</w:t>
      </w:r>
      <w:r w:rsidR="00C039EB">
        <w:rPr>
          <w:sz w:val="24"/>
          <w:szCs w:val="24"/>
        </w:rPr>
        <w:t>)</w:t>
      </w:r>
      <w:r w:rsidR="00174617">
        <w:rPr>
          <w:sz w:val="24"/>
          <w:szCs w:val="24"/>
        </w:rPr>
        <w:t xml:space="preserve"> were able to initiat</w:t>
      </w:r>
      <w:r w:rsidR="00E65E05">
        <w:rPr>
          <w:sz w:val="24"/>
          <w:szCs w:val="24"/>
        </w:rPr>
        <w:t>e</w:t>
      </w:r>
      <w:r w:rsidR="00174617">
        <w:rPr>
          <w:sz w:val="24"/>
          <w:szCs w:val="24"/>
        </w:rPr>
        <w:t xml:space="preserve"> </w:t>
      </w:r>
      <w:r w:rsidR="00452C05">
        <w:rPr>
          <w:sz w:val="24"/>
          <w:szCs w:val="24"/>
        </w:rPr>
        <w:t xml:space="preserve">at least one </w:t>
      </w:r>
      <w:r w:rsidR="008B4D42">
        <w:rPr>
          <w:sz w:val="24"/>
          <w:szCs w:val="24"/>
        </w:rPr>
        <w:t xml:space="preserve">of the </w:t>
      </w:r>
      <w:r w:rsidR="00C039EB">
        <w:rPr>
          <w:sz w:val="24"/>
          <w:szCs w:val="24"/>
        </w:rPr>
        <w:t xml:space="preserve">strategies included in their action plans. </w:t>
      </w:r>
      <w:r w:rsidR="00174617">
        <w:rPr>
          <w:sz w:val="24"/>
          <w:szCs w:val="24"/>
        </w:rPr>
        <w:t xml:space="preserve">  </w:t>
      </w:r>
      <w:r w:rsidR="00C039EB">
        <w:rPr>
          <w:sz w:val="24"/>
          <w:szCs w:val="24"/>
        </w:rPr>
        <w:t xml:space="preserve">The four </w:t>
      </w:r>
      <w:r w:rsidR="00E65C5F" w:rsidRPr="00CE6FD8">
        <w:rPr>
          <w:color w:val="000000"/>
          <w:sz w:val="24"/>
          <w:szCs w:val="24"/>
        </w:rPr>
        <w:t xml:space="preserve">counties </w:t>
      </w:r>
      <w:r w:rsidR="00C039EB">
        <w:rPr>
          <w:sz w:val="24"/>
          <w:szCs w:val="24"/>
        </w:rPr>
        <w:t>which did not initiat</w:t>
      </w:r>
      <w:r w:rsidR="005835C7">
        <w:rPr>
          <w:sz w:val="24"/>
          <w:szCs w:val="24"/>
        </w:rPr>
        <w:t>e</w:t>
      </w:r>
      <w:r w:rsidR="00C039EB">
        <w:rPr>
          <w:sz w:val="24"/>
          <w:szCs w:val="24"/>
        </w:rPr>
        <w:t xml:space="preserve"> any of the strategies </w:t>
      </w:r>
      <w:r w:rsidR="005835C7">
        <w:rPr>
          <w:sz w:val="24"/>
          <w:szCs w:val="24"/>
        </w:rPr>
        <w:t xml:space="preserve">at the six-month mark </w:t>
      </w:r>
      <w:r w:rsidR="00C039EB">
        <w:rPr>
          <w:sz w:val="24"/>
          <w:szCs w:val="24"/>
        </w:rPr>
        <w:t xml:space="preserve">were </w:t>
      </w:r>
      <w:r w:rsidR="005835C7">
        <w:rPr>
          <w:sz w:val="24"/>
          <w:szCs w:val="24"/>
        </w:rPr>
        <w:t xml:space="preserve">all </w:t>
      </w:r>
      <w:r w:rsidR="00C039EB">
        <w:rPr>
          <w:sz w:val="24"/>
          <w:szCs w:val="24"/>
        </w:rPr>
        <w:t xml:space="preserve">small, upstate counties. </w:t>
      </w:r>
      <w:r w:rsidR="009F28EF">
        <w:rPr>
          <w:b/>
          <w:sz w:val="24"/>
          <w:szCs w:val="24"/>
        </w:rPr>
        <w:t xml:space="preserve"> </w:t>
      </w:r>
      <w:r w:rsidR="00E65C5F" w:rsidRPr="00CE6FD8">
        <w:rPr>
          <w:color w:val="000000"/>
          <w:sz w:val="24"/>
          <w:szCs w:val="24"/>
        </w:rPr>
        <w:t xml:space="preserve">Respondents </w:t>
      </w:r>
      <w:r w:rsidR="008E28A2" w:rsidRPr="00CE6FD8">
        <w:rPr>
          <w:color w:val="000000"/>
          <w:sz w:val="24"/>
          <w:szCs w:val="24"/>
        </w:rPr>
        <w:t xml:space="preserve"> </w:t>
      </w:r>
      <w:r w:rsidR="008E28A2">
        <w:rPr>
          <w:sz w:val="24"/>
          <w:szCs w:val="24"/>
        </w:rPr>
        <w:t xml:space="preserve">identified lack of leadership, staff turnover and problems with coalitions as barriers to beginning work on action plan strategies.  </w:t>
      </w:r>
      <w:r w:rsidR="00C039EB">
        <w:rPr>
          <w:sz w:val="24"/>
          <w:szCs w:val="24"/>
        </w:rPr>
        <w:t xml:space="preserve">Adoption was unrelated to county socioeconomic status as measured by whether or not the median income of residents in the county was above or below the federal poverty line.  </w:t>
      </w:r>
    </w:p>
    <w:p w14:paraId="75138966" w14:textId="77777777" w:rsidR="00C952E0" w:rsidRDefault="0025064F" w:rsidP="00C952E0">
      <w:pPr>
        <w:rPr>
          <w:sz w:val="24"/>
          <w:szCs w:val="24"/>
        </w:rPr>
      </w:pPr>
      <w:r>
        <w:rPr>
          <w:sz w:val="24"/>
          <w:szCs w:val="24"/>
        </w:rPr>
        <w:t xml:space="preserve">Strategies in the </w:t>
      </w:r>
      <w:r w:rsidR="00CE6FD8">
        <w:rPr>
          <w:sz w:val="24"/>
          <w:szCs w:val="24"/>
        </w:rPr>
        <w:t xml:space="preserve">county </w:t>
      </w:r>
      <w:r>
        <w:rPr>
          <w:sz w:val="24"/>
          <w:szCs w:val="24"/>
        </w:rPr>
        <w:t xml:space="preserve">action plans </w:t>
      </w:r>
      <w:r w:rsidR="00F47F08">
        <w:rPr>
          <w:sz w:val="24"/>
          <w:szCs w:val="24"/>
        </w:rPr>
        <w:t xml:space="preserve">which were adopted </w:t>
      </w:r>
      <w:r>
        <w:rPr>
          <w:sz w:val="24"/>
          <w:szCs w:val="24"/>
        </w:rPr>
        <w:t xml:space="preserve">were </w:t>
      </w:r>
      <w:r w:rsidR="00F47F08">
        <w:rPr>
          <w:sz w:val="24"/>
          <w:szCs w:val="24"/>
        </w:rPr>
        <w:t xml:space="preserve">reviewed and </w:t>
      </w:r>
      <w:r>
        <w:rPr>
          <w:sz w:val="24"/>
          <w:szCs w:val="24"/>
        </w:rPr>
        <w:t xml:space="preserve">categorized as directed toward: </w:t>
      </w:r>
      <w:r w:rsidR="00E32593">
        <w:rPr>
          <w:sz w:val="24"/>
          <w:szCs w:val="24"/>
        </w:rPr>
        <w:t xml:space="preserve"> 1)</w:t>
      </w:r>
      <w:r>
        <w:rPr>
          <w:sz w:val="24"/>
          <w:szCs w:val="24"/>
        </w:rPr>
        <w:t xml:space="preserve">community assessment; </w:t>
      </w:r>
      <w:r w:rsidR="00E32593">
        <w:rPr>
          <w:sz w:val="24"/>
          <w:szCs w:val="24"/>
        </w:rPr>
        <w:t xml:space="preserve"> 2)</w:t>
      </w:r>
      <w:r>
        <w:rPr>
          <w:sz w:val="24"/>
          <w:szCs w:val="24"/>
        </w:rPr>
        <w:t xml:space="preserve">education or health promotion; </w:t>
      </w:r>
      <w:r w:rsidR="00E32593">
        <w:rPr>
          <w:sz w:val="24"/>
          <w:szCs w:val="24"/>
        </w:rPr>
        <w:t>3)</w:t>
      </w:r>
      <w:r>
        <w:rPr>
          <w:sz w:val="24"/>
          <w:szCs w:val="24"/>
        </w:rPr>
        <w:t xml:space="preserve">coalition building; </w:t>
      </w:r>
      <w:r w:rsidR="00E32593">
        <w:rPr>
          <w:sz w:val="24"/>
          <w:szCs w:val="24"/>
        </w:rPr>
        <w:t>4)</w:t>
      </w:r>
      <w:r>
        <w:rPr>
          <w:sz w:val="24"/>
          <w:szCs w:val="24"/>
        </w:rPr>
        <w:t xml:space="preserve">environmental change; </w:t>
      </w:r>
      <w:r w:rsidR="00E32593">
        <w:rPr>
          <w:sz w:val="24"/>
          <w:szCs w:val="24"/>
        </w:rPr>
        <w:t>5)</w:t>
      </w:r>
      <w:r>
        <w:rPr>
          <w:sz w:val="24"/>
          <w:szCs w:val="24"/>
        </w:rPr>
        <w:t>systems change;</w:t>
      </w:r>
      <w:r w:rsidR="00E32593">
        <w:rPr>
          <w:sz w:val="24"/>
          <w:szCs w:val="24"/>
        </w:rPr>
        <w:t>6)</w:t>
      </w:r>
      <w:r>
        <w:rPr>
          <w:sz w:val="24"/>
          <w:szCs w:val="24"/>
        </w:rPr>
        <w:t xml:space="preserve"> policy change; and</w:t>
      </w:r>
      <w:r w:rsidR="00E32593">
        <w:rPr>
          <w:sz w:val="24"/>
          <w:szCs w:val="24"/>
        </w:rPr>
        <w:t>7)</w:t>
      </w:r>
      <w:r>
        <w:rPr>
          <w:sz w:val="24"/>
          <w:szCs w:val="24"/>
        </w:rPr>
        <w:t xml:space="preserve"> increasing opportunit</w:t>
      </w:r>
      <w:r w:rsidR="00C952E0">
        <w:rPr>
          <w:sz w:val="24"/>
          <w:szCs w:val="24"/>
        </w:rPr>
        <w:t>ies</w:t>
      </w:r>
      <w:r>
        <w:rPr>
          <w:sz w:val="24"/>
          <w:szCs w:val="24"/>
        </w:rPr>
        <w:t xml:space="preserve"> for physical activity or better nutrition. </w:t>
      </w:r>
      <w:r w:rsidR="00A5723C">
        <w:rPr>
          <w:sz w:val="24"/>
          <w:szCs w:val="24"/>
        </w:rPr>
        <w:t xml:space="preserve">The distribution of strategies adopted by </w:t>
      </w:r>
      <w:r w:rsidR="00E65C5F" w:rsidRPr="00CE6FD8">
        <w:rPr>
          <w:color w:val="000000"/>
          <w:sz w:val="24"/>
          <w:szCs w:val="24"/>
        </w:rPr>
        <w:t xml:space="preserve">counties </w:t>
      </w:r>
      <w:r w:rsidR="00A5723C" w:rsidRPr="00CE6FD8">
        <w:rPr>
          <w:color w:val="000000"/>
          <w:sz w:val="24"/>
          <w:szCs w:val="24"/>
        </w:rPr>
        <w:t>is</w:t>
      </w:r>
      <w:r w:rsidR="00A5723C">
        <w:rPr>
          <w:sz w:val="24"/>
          <w:szCs w:val="24"/>
        </w:rPr>
        <w:t xml:space="preserve"> displayed in Figure </w:t>
      </w:r>
      <w:r w:rsidR="006D4B2A">
        <w:rPr>
          <w:sz w:val="24"/>
          <w:szCs w:val="24"/>
        </w:rPr>
        <w:t>2</w:t>
      </w:r>
      <w:r w:rsidR="00A5723C">
        <w:rPr>
          <w:sz w:val="24"/>
          <w:szCs w:val="24"/>
        </w:rPr>
        <w:t xml:space="preserve">.  </w:t>
      </w:r>
    </w:p>
    <w:p w14:paraId="75138967" w14:textId="77777777" w:rsidR="00A5723C" w:rsidRDefault="00E65C5F" w:rsidP="00D90CF8">
      <w:pPr>
        <w:rPr>
          <w:sz w:val="24"/>
          <w:szCs w:val="24"/>
        </w:rPr>
      </w:pPr>
      <w:r>
        <w:rPr>
          <w:sz w:val="24"/>
          <w:szCs w:val="24"/>
        </w:rPr>
        <w:t xml:space="preserve">Figure </w:t>
      </w:r>
      <w:r w:rsidR="006D4B2A">
        <w:rPr>
          <w:sz w:val="24"/>
          <w:szCs w:val="24"/>
        </w:rPr>
        <w:t>2.</w:t>
      </w:r>
      <w:r>
        <w:rPr>
          <w:sz w:val="24"/>
          <w:szCs w:val="24"/>
        </w:rPr>
        <w:t xml:space="preserve"> </w:t>
      </w:r>
      <w:r w:rsidR="006D4B2A">
        <w:rPr>
          <w:sz w:val="24"/>
          <w:szCs w:val="24"/>
        </w:rPr>
        <w:t xml:space="preserve">Prevention </w:t>
      </w:r>
      <w:r>
        <w:rPr>
          <w:sz w:val="24"/>
          <w:szCs w:val="24"/>
        </w:rPr>
        <w:t xml:space="preserve">Strategies Adopted </w:t>
      </w:r>
      <w:r w:rsidRPr="00911815">
        <w:rPr>
          <w:color w:val="000000"/>
          <w:sz w:val="24"/>
          <w:szCs w:val="24"/>
        </w:rPr>
        <w:t>by Counties</w:t>
      </w:r>
      <w:r w:rsidR="00A5723C" w:rsidRPr="00E65C5F">
        <w:rPr>
          <w:color w:val="FF0000"/>
          <w:sz w:val="24"/>
          <w:szCs w:val="24"/>
        </w:rPr>
        <w:t xml:space="preserve"> </w:t>
      </w:r>
      <w:r w:rsidR="00A5723C">
        <w:rPr>
          <w:sz w:val="24"/>
          <w:szCs w:val="24"/>
        </w:rPr>
        <w:t>in Action Plans</w:t>
      </w:r>
    </w:p>
    <w:p w14:paraId="75138968" w14:textId="77777777" w:rsidR="00F47F08" w:rsidRDefault="00390EA5" w:rsidP="00A5723C">
      <w:pPr>
        <w:jc w:val="center"/>
        <w:rPr>
          <w:sz w:val="24"/>
          <w:szCs w:val="24"/>
        </w:rPr>
      </w:pPr>
      <w:r>
        <w:rPr>
          <w:noProof/>
          <w:sz w:val="24"/>
          <w:szCs w:val="24"/>
        </w:rPr>
        <w:drawing>
          <wp:inline distT="0" distB="0" distL="0" distR="0" wp14:anchorId="751389DE" wp14:editId="751389DF">
            <wp:extent cx="6164580" cy="2910840"/>
            <wp:effectExtent l="19050" t="0" r="26670" b="381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138969" w14:textId="77777777" w:rsidR="00E32593" w:rsidRDefault="00E32593" w:rsidP="00E32593">
      <w:pPr>
        <w:rPr>
          <w:sz w:val="24"/>
          <w:szCs w:val="24"/>
        </w:rPr>
      </w:pPr>
      <w:r>
        <w:rPr>
          <w:sz w:val="24"/>
          <w:szCs w:val="24"/>
        </w:rPr>
        <w:t xml:space="preserve">Nearly half of </w:t>
      </w:r>
      <w:r w:rsidRPr="00CE6FD8">
        <w:rPr>
          <w:color w:val="000000"/>
          <w:sz w:val="24"/>
          <w:szCs w:val="24"/>
        </w:rPr>
        <w:t xml:space="preserve">counties </w:t>
      </w:r>
      <w:r>
        <w:rPr>
          <w:sz w:val="24"/>
          <w:szCs w:val="24"/>
        </w:rPr>
        <w:t xml:space="preserve">began education or health promotion strategies. Among 44%  of </w:t>
      </w:r>
      <w:r w:rsidRPr="00CE6FD8">
        <w:rPr>
          <w:color w:val="000000"/>
          <w:sz w:val="24"/>
          <w:szCs w:val="24"/>
        </w:rPr>
        <w:t>counties,</w:t>
      </w:r>
      <w:r>
        <w:rPr>
          <w:color w:val="FF0000"/>
          <w:sz w:val="24"/>
          <w:szCs w:val="24"/>
        </w:rPr>
        <w:t xml:space="preserve"> </w:t>
      </w:r>
      <w:r>
        <w:rPr>
          <w:sz w:val="24"/>
          <w:szCs w:val="24"/>
        </w:rPr>
        <w:t xml:space="preserve">environmental change strategies were undertaken.  Fewer </w:t>
      </w:r>
      <w:r w:rsidRPr="00CE6FD8">
        <w:rPr>
          <w:color w:val="000000"/>
          <w:sz w:val="24"/>
          <w:szCs w:val="24"/>
        </w:rPr>
        <w:t>counties</w:t>
      </w:r>
      <w:r w:rsidRPr="00E65C5F">
        <w:rPr>
          <w:color w:val="FF0000"/>
          <w:sz w:val="24"/>
          <w:szCs w:val="24"/>
        </w:rPr>
        <w:t xml:space="preserve"> </w:t>
      </w:r>
      <w:r>
        <w:rPr>
          <w:sz w:val="24"/>
          <w:szCs w:val="24"/>
        </w:rPr>
        <w:t xml:space="preserve">undertook strategies to enact policy (17.3%) or systems change (19.2%). For 25% of </w:t>
      </w:r>
      <w:r w:rsidRPr="00CE6FD8">
        <w:rPr>
          <w:color w:val="000000"/>
          <w:sz w:val="24"/>
          <w:szCs w:val="24"/>
        </w:rPr>
        <w:t>counties</w:t>
      </w:r>
      <w:r>
        <w:rPr>
          <w:sz w:val="24"/>
          <w:szCs w:val="24"/>
        </w:rPr>
        <w:t xml:space="preserve">, strategies were included that mentioned increasing opportunities for physical activity or nutrition but without much specificity. </w:t>
      </w:r>
    </w:p>
    <w:p w14:paraId="7513896A" w14:textId="3CD89185" w:rsidR="00E2350F" w:rsidRDefault="00445AD8" w:rsidP="009F28EF">
      <w:pPr>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751389E0" wp14:editId="3F766A4B">
                <wp:simplePos x="0" y="0"/>
                <wp:positionH relativeFrom="column">
                  <wp:posOffset>-48260</wp:posOffset>
                </wp:positionH>
                <wp:positionV relativeFrom="paragraph">
                  <wp:posOffset>201295</wp:posOffset>
                </wp:positionV>
                <wp:extent cx="6598285" cy="1424940"/>
                <wp:effectExtent l="8890" t="10795" r="12700"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424940"/>
                        </a:xfrm>
                        <a:prstGeom prst="rect">
                          <a:avLst/>
                        </a:prstGeom>
                        <a:solidFill>
                          <a:srgbClr val="FFFFFF"/>
                        </a:solidFill>
                        <a:ln w="9525">
                          <a:solidFill>
                            <a:srgbClr val="000000"/>
                          </a:solidFill>
                          <a:miter lim="800000"/>
                          <a:headEnd/>
                          <a:tailEnd/>
                        </a:ln>
                      </wps:spPr>
                      <wps:txbx>
                        <w:txbxContent>
                          <w:p w14:paraId="751389F0" w14:textId="77777777" w:rsidR="00190108" w:rsidRDefault="00190108" w:rsidP="00E2350F">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Adoption</w:t>
                            </w:r>
                            <w:r w:rsidRPr="00E2350F">
                              <w:rPr>
                                <w:b/>
                                <w:sz w:val="24"/>
                                <w:szCs w:val="24"/>
                              </w:rPr>
                              <w:t>:</w:t>
                            </w:r>
                          </w:p>
                          <w:p w14:paraId="751389F1" w14:textId="77777777" w:rsidR="00452C05" w:rsidRPr="00E2350F" w:rsidRDefault="00452C05" w:rsidP="00E2350F">
                            <w:pPr>
                              <w:jc w:val="center"/>
                              <w:rPr>
                                <w:b/>
                                <w:sz w:val="24"/>
                                <w:szCs w:val="24"/>
                              </w:rPr>
                            </w:pPr>
                            <w:r>
                              <w:rPr>
                                <w:b/>
                                <w:sz w:val="24"/>
                                <w:szCs w:val="24"/>
                              </w:rPr>
                              <w:t xml:space="preserve">In any future PSE training, emphasis should be placed on the initial steps required in implementing policy and systems change so that training participants </w:t>
                            </w:r>
                            <w:r w:rsidR="000B0415">
                              <w:rPr>
                                <w:b/>
                                <w:sz w:val="24"/>
                                <w:szCs w:val="24"/>
                              </w:rPr>
                              <w:t xml:space="preserve">are </w:t>
                            </w:r>
                            <w:r>
                              <w:rPr>
                                <w:b/>
                                <w:sz w:val="24"/>
                                <w:szCs w:val="24"/>
                              </w:rPr>
                              <w:t>as likely to begin work on these long term strategies as they are to begin work on short term environmental improvements or health promotion/educational</w:t>
                            </w:r>
                            <w:r w:rsidR="000B0415">
                              <w:rPr>
                                <w:b/>
                                <w:sz w:val="24"/>
                                <w:szCs w:val="24"/>
                              </w:rPr>
                              <w:t xml:space="preserve"> </w:t>
                            </w:r>
                            <w:r>
                              <w:rPr>
                                <w:b/>
                                <w:sz w:val="24"/>
                                <w:szCs w:val="24"/>
                              </w:rPr>
                              <w:t xml:space="preserve">activities.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3.8pt;margin-top:15.85pt;width:519.55pt;height:112.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MGLAIAAFgEAAAOAAAAZHJzL2Uyb0RvYy54bWysVNuO0zAQfUfiHyy/07ShXdqo6WrpUoS0&#10;XKRdPmDiOImFb9huk/L1jJ22VAu8IPJgeezx8ZlzxlnfDkqSA3deGF3S2WRKCdfM1EK3Jf36tHu1&#10;pMQH0DVIo3lJj9zT283LF+veFjw3nZE1dwRBtC96W9IuBFtkmWcdV+AnxnKNm41xCgKGrs1qBz2i&#10;K5nl0+lN1htXW2cY9x5X78dNukn4TcNZ+Nw0ngciS4rcQhpdGqs4Zps1FK0D2wl2ogH/wEKB0Hjp&#10;BeoeApC9E79BKcGc8aYJE2ZUZppGMJ5qwGpm02fVPHZgeaoFxfH2IpP/f7Ds0+GLI6Iu6YISDQot&#10;euJDIG/NQOZRnd76ApMeLaaFAZfR5VSptw+GffNEm20HuuV3zpm+41Aju1k8mV0dHXF8BKn6j6bG&#10;a2AfTAIaGqeidCgGQXR06XhxJlJhuHizWC3zJVJkuDeb5/PVPHmXQXE+bp0P77lRJE5K6tD6BA+H&#10;Bx8iHSjOKfE2b6Sod0LKFLi22kpHDoBtsktfquBZmtSkL+lqkS9GBf4KMU3fnyCUCNjvUqiSLi9J&#10;UETd3uk6dWMAIcc5Upb6JGTUblQxDNWQHHt99qcy9RGVdWZsb3yOOOmM+0FJj61dUv99D45TIj9o&#10;dGc1m6N6JKRgvniTY+Cud6rrHdAMoUoaKBmn2zC+n711ou3wpnM/3KGjO5G0jtaPrE70sX2TBaen&#10;Ft/HdZyyfv0QNj8BAAD//wMAUEsDBBQABgAIAAAAIQCRGm/p3gAAAAoBAAAPAAAAZHJzL2Rvd25y&#10;ZXYueG1sTI9Bb4JAFITvTfofNq9JL0YXJGCDPExr4qkn0d5X9gmk7FvKror/vuupPU5mMvNNsZlM&#10;L640us4yQryIQBDXVnfcIBwPu/kbCOcVa9VbJoQ7OdiUz0+FyrW98Z6ulW9EKGGXK4TW+yGX0tUt&#10;GeUWdiAO3tmORvkgx0bqUd1CuenlMooyaVTHYaFVA21bqr+ri0HIfqpk9vmlZ7y/7z7G2qR6e0wR&#10;X1+m9zUIT5P/C8MDP6BDGZhO9sLaiR5hvspCEiGJVyAefpTEKYgTwjLNYpBlIf9fKH8BAAD//wMA&#10;UEsBAi0AFAAGAAgAAAAhALaDOJL+AAAA4QEAABMAAAAAAAAAAAAAAAAAAAAAAFtDb250ZW50X1R5&#10;cGVzXS54bWxQSwECLQAUAAYACAAAACEAOP0h/9YAAACUAQAACwAAAAAAAAAAAAAAAAAvAQAAX3Jl&#10;bHMvLnJlbHNQSwECLQAUAAYACAAAACEAM0UzBiwCAABYBAAADgAAAAAAAAAAAAAAAAAuAgAAZHJz&#10;L2Uyb0RvYy54bWxQSwECLQAUAAYACAAAACEAkRpv6d4AAAAKAQAADwAAAAAAAAAAAAAAAACGBAAA&#10;ZHJzL2Rvd25yZXYueG1sUEsFBgAAAAAEAAQA8wAAAJEFAAAAAA==&#10;">
                <v:textbox style="mso-fit-shape-to-text:t">
                  <w:txbxContent>
                    <w:p w14:paraId="751389F0" w14:textId="77777777" w:rsidR="00190108" w:rsidRDefault="00190108" w:rsidP="00E2350F">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Adoption</w:t>
                      </w:r>
                      <w:r w:rsidRPr="00E2350F">
                        <w:rPr>
                          <w:b/>
                          <w:sz w:val="24"/>
                          <w:szCs w:val="24"/>
                        </w:rPr>
                        <w:t>:</w:t>
                      </w:r>
                    </w:p>
                    <w:p w14:paraId="751389F1" w14:textId="77777777" w:rsidR="00452C05" w:rsidRPr="00E2350F" w:rsidRDefault="00452C05" w:rsidP="00E2350F">
                      <w:pPr>
                        <w:jc w:val="center"/>
                        <w:rPr>
                          <w:b/>
                          <w:sz w:val="24"/>
                          <w:szCs w:val="24"/>
                        </w:rPr>
                      </w:pPr>
                      <w:r>
                        <w:rPr>
                          <w:b/>
                          <w:sz w:val="24"/>
                          <w:szCs w:val="24"/>
                        </w:rPr>
                        <w:t xml:space="preserve">In any future PSE training, emphasis should be placed on the initial steps required in implementing policy and systems change so that training participants </w:t>
                      </w:r>
                      <w:r w:rsidR="000B0415">
                        <w:rPr>
                          <w:b/>
                          <w:sz w:val="24"/>
                          <w:szCs w:val="24"/>
                        </w:rPr>
                        <w:t xml:space="preserve">are </w:t>
                      </w:r>
                      <w:r>
                        <w:rPr>
                          <w:b/>
                          <w:sz w:val="24"/>
                          <w:szCs w:val="24"/>
                        </w:rPr>
                        <w:t>as likely to begin work on these long term strategies as they are to begin work on short term environmental improvements or health promotion/educational</w:t>
                      </w:r>
                      <w:r w:rsidR="000B0415">
                        <w:rPr>
                          <w:b/>
                          <w:sz w:val="24"/>
                          <w:szCs w:val="24"/>
                        </w:rPr>
                        <w:t xml:space="preserve"> </w:t>
                      </w:r>
                      <w:r>
                        <w:rPr>
                          <w:b/>
                          <w:sz w:val="24"/>
                          <w:szCs w:val="24"/>
                        </w:rPr>
                        <w:t xml:space="preserve">activities. </w:t>
                      </w:r>
                    </w:p>
                  </w:txbxContent>
                </v:textbox>
              </v:shape>
            </w:pict>
          </mc:Fallback>
        </mc:AlternateContent>
      </w:r>
    </w:p>
    <w:p w14:paraId="7513896B" w14:textId="77777777" w:rsidR="009F28EF" w:rsidRDefault="009F28EF" w:rsidP="009F28EF">
      <w:pPr>
        <w:jc w:val="center"/>
        <w:rPr>
          <w:b/>
          <w:sz w:val="24"/>
          <w:szCs w:val="24"/>
        </w:rPr>
      </w:pPr>
      <w:r>
        <w:rPr>
          <w:b/>
          <w:sz w:val="24"/>
          <w:szCs w:val="24"/>
        </w:rPr>
        <w:t>:</w:t>
      </w:r>
    </w:p>
    <w:p w14:paraId="7513896C" w14:textId="77777777" w:rsidR="00E716E5" w:rsidRDefault="00E716E5" w:rsidP="009F28EF">
      <w:pPr>
        <w:rPr>
          <w:b/>
          <w:sz w:val="24"/>
          <w:szCs w:val="24"/>
        </w:rPr>
      </w:pPr>
    </w:p>
    <w:p w14:paraId="7513896D" w14:textId="77777777" w:rsidR="00E716E5" w:rsidRDefault="009F28EF" w:rsidP="009F28EF">
      <w:pPr>
        <w:rPr>
          <w:sz w:val="24"/>
          <w:szCs w:val="24"/>
        </w:rPr>
      </w:pPr>
      <w:r>
        <w:rPr>
          <w:b/>
          <w:sz w:val="24"/>
          <w:szCs w:val="24"/>
        </w:rPr>
        <w:lastRenderedPageBreak/>
        <w:t xml:space="preserve">Implementation: </w:t>
      </w:r>
      <w:r>
        <w:rPr>
          <w:sz w:val="24"/>
          <w:szCs w:val="24"/>
        </w:rPr>
        <w:t>Implementation is defined in the RE-AIM framework as “the extent to which the intervention is implemented as intended in the real world</w:t>
      </w:r>
      <w:r>
        <w:rPr>
          <w:sz w:val="24"/>
          <w:szCs w:val="24"/>
          <w:vertAlign w:val="superscript"/>
        </w:rPr>
        <w:t>2</w:t>
      </w:r>
      <w:r w:rsidR="00C264F6">
        <w:rPr>
          <w:sz w:val="24"/>
          <w:szCs w:val="24"/>
        </w:rPr>
        <w:t>.</w:t>
      </w:r>
      <w:r w:rsidR="00C264F6">
        <w:rPr>
          <w:sz w:val="24"/>
          <w:szCs w:val="24"/>
          <w:vertAlign w:val="superscript"/>
        </w:rPr>
        <w:t xml:space="preserve"> “</w:t>
      </w:r>
      <w:r w:rsidR="00C039EB">
        <w:rPr>
          <w:sz w:val="24"/>
          <w:szCs w:val="24"/>
          <w:vertAlign w:val="superscript"/>
        </w:rPr>
        <w:t xml:space="preserve"> </w:t>
      </w:r>
      <w:r w:rsidR="00C039EB">
        <w:rPr>
          <w:sz w:val="24"/>
          <w:szCs w:val="24"/>
        </w:rPr>
        <w:t xml:space="preserve">For the purpose of this evaluation, the outcome measure of implementation was the proportion of </w:t>
      </w:r>
      <w:r w:rsidR="00E65C5F" w:rsidRPr="00DA3743">
        <w:rPr>
          <w:color w:val="000000"/>
          <w:sz w:val="24"/>
          <w:szCs w:val="24"/>
        </w:rPr>
        <w:t>counties</w:t>
      </w:r>
      <w:r w:rsidR="00E65C5F" w:rsidRPr="00E65C5F">
        <w:rPr>
          <w:color w:val="FF0000"/>
          <w:sz w:val="24"/>
          <w:szCs w:val="24"/>
        </w:rPr>
        <w:t xml:space="preserve"> </w:t>
      </w:r>
      <w:r w:rsidR="00065933">
        <w:rPr>
          <w:sz w:val="24"/>
          <w:szCs w:val="24"/>
        </w:rPr>
        <w:t xml:space="preserve">for </w:t>
      </w:r>
      <w:r w:rsidR="00C039EB">
        <w:rPr>
          <w:sz w:val="24"/>
          <w:szCs w:val="24"/>
        </w:rPr>
        <w:t xml:space="preserve">which </w:t>
      </w:r>
      <w:r w:rsidR="005D2F06">
        <w:rPr>
          <w:sz w:val="24"/>
          <w:szCs w:val="24"/>
        </w:rPr>
        <w:t xml:space="preserve">the strategies identified in </w:t>
      </w:r>
      <w:r w:rsidR="005D2F06" w:rsidRPr="00C4595C">
        <w:rPr>
          <w:sz w:val="24"/>
          <w:szCs w:val="24"/>
        </w:rPr>
        <w:t xml:space="preserve">the action plan were either ongoing or completed at the six-month mark.  </w:t>
      </w:r>
      <w:r w:rsidR="00065933" w:rsidRPr="00C4595C">
        <w:rPr>
          <w:sz w:val="24"/>
          <w:szCs w:val="24"/>
        </w:rPr>
        <w:t xml:space="preserve">A total of 127 strategies were identified among </w:t>
      </w:r>
      <w:r w:rsidR="00E65C5F" w:rsidRPr="00DA3743">
        <w:rPr>
          <w:sz w:val="24"/>
          <w:szCs w:val="24"/>
        </w:rPr>
        <w:t>counties</w:t>
      </w:r>
      <w:r w:rsidR="00065933" w:rsidRPr="00DA3743">
        <w:rPr>
          <w:sz w:val="24"/>
          <w:szCs w:val="24"/>
        </w:rPr>
        <w:t xml:space="preserve"> </w:t>
      </w:r>
      <w:r w:rsidR="00065933" w:rsidRPr="00C4595C">
        <w:rPr>
          <w:sz w:val="24"/>
          <w:szCs w:val="24"/>
        </w:rPr>
        <w:t>adopting at least one strategy six months after training.</w:t>
      </w:r>
      <w:r w:rsidR="005D2F06" w:rsidRPr="00C4595C">
        <w:rPr>
          <w:sz w:val="24"/>
          <w:szCs w:val="24"/>
        </w:rPr>
        <w:t xml:space="preserve">  </w:t>
      </w:r>
      <w:r w:rsidR="00C952E0" w:rsidRPr="00C4595C">
        <w:rPr>
          <w:sz w:val="24"/>
          <w:szCs w:val="24"/>
        </w:rPr>
        <w:t xml:space="preserve">All but </w:t>
      </w:r>
      <w:r w:rsidR="00C4595C" w:rsidRPr="00C4595C">
        <w:rPr>
          <w:sz w:val="24"/>
          <w:szCs w:val="24"/>
        </w:rPr>
        <w:t xml:space="preserve">three </w:t>
      </w:r>
      <w:r w:rsidR="00E65C5F" w:rsidRPr="00DA3743">
        <w:rPr>
          <w:sz w:val="24"/>
          <w:szCs w:val="24"/>
        </w:rPr>
        <w:t xml:space="preserve">counties </w:t>
      </w:r>
      <w:r w:rsidR="00190108" w:rsidRPr="00C4595C">
        <w:rPr>
          <w:sz w:val="24"/>
          <w:szCs w:val="24"/>
        </w:rPr>
        <w:t xml:space="preserve">reported either completing </w:t>
      </w:r>
      <w:r w:rsidR="00C952E0" w:rsidRPr="00C4595C">
        <w:rPr>
          <w:sz w:val="24"/>
          <w:szCs w:val="24"/>
        </w:rPr>
        <w:t xml:space="preserve">or continuing to work on </w:t>
      </w:r>
      <w:r w:rsidR="00190108" w:rsidRPr="00C4595C">
        <w:rPr>
          <w:sz w:val="24"/>
          <w:szCs w:val="24"/>
        </w:rPr>
        <w:t xml:space="preserve">at least one of their strategies.  The remaining </w:t>
      </w:r>
      <w:r w:rsidR="00E65C5F" w:rsidRPr="00DA3743">
        <w:rPr>
          <w:sz w:val="24"/>
          <w:szCs w:val="24"/>
        </w:rPr>
        <w:t>counties</w:t>
      </w:r>
      <w:r w:rsidR="00190108" w:rsidRPr="00DA3743">
        <w:rPr>
          <w:sz w:val="24"/>
          <w:szCs w:val="24"/>
        </w:rPr>
        <w:t xml:space="preserve"> </w:t>
      </w:r>
      <w:r w:rsidR="00190108" w:rsidRPr="00C4595C">
        <w:rPr>
          <w:sz w:val="24"/>
          <w:szCs w:val="24"/>
        </w:rPr>
        <w:t xml:space="preserve">reported </w:t>
      </w:r>
      <w:r w:rsidR="00C4595C">
        <w:rPr>
          <w:sz w:val="24"/>
          <w:szCs w:val="24"/>
        </w:rPr>
        <w:t xml:space="preserve">not beginning their strategies or </w:t>
      </w:r>
      <w:r w:rsidR="00190108" w:rsidRPr="00C4595C">
        <w:rPr>
          <w:sz w:val="24"/>
          <w:szCs w:val="24"/>
        </w:rPr>
        <w:t>being in the planning stage</w:t>
      </w:r>
      <w:r w:rsidR="00C4595C">
        <w:rPr>
          <w:sz w:val="24"/>
          <w:szCs w:val="24"/>
        </w:rPr>
        <w:t>.</w:t>
      </w:r>
      <w:r w:rsidR="00190108" w:rsidRPr="00C4595C">
        <w:rPr>
          <w:sz w:val="24"/>
          <w:szCs w:val="24"/>
        </w:rPr>
        <w:t xml:space="preserve"> A total of 119 strategies were identified among those </w:t>
      </w:r>
      <w:r w:rsidR="00E65C5F" w:rsidRPr="00DA3743">
        <w:rPr>
          <w:sz w:val="24"/>
          <w:szCs w:val="24"/>
        </w:rPr>
        <w:t>counties</w:t>
      </w:r>
      <w:r w:rsidR="00190108" w:rsidRPr="00C4595C">
        <w:rPr>
          <w:sz w:val="24"/>
          <w:szCs w:val="24"/>
        </w:rPr>
        <w:t xml:space="preserve"> including either at least one PSE change strategy, or coalition building in their action plans. </w:t>
      </w:r>
      <w:r w:rsidR="005D2F06" w:rsidRPr="00C4595C">
        <w:rPr>
          <w:sz w:val="24"/>
          <w:szCs w:val="24"/>
        </w:rPr>
        <w:t xml:space="preserve">Of these 119 strategies, </w:t>
      </w:r>
      <w:r w:rsidR="00DD6D67" w:rsidRPr="00C4595C">
        <w:rPr>
          <w:sz w:val="24"/>
          <w:szCs w:val="24"/>
        </w:rPr>
        <w:t>19% had not been started</w:t>
      </w:r>
      <w:r w:rsidR="00190108" w:rsidRPr="00C4595C">
        <w:rPr>
          <w:sz w:val="24"/>
          <w:szCs w:val="24"/>
        </w:rPr>
        <w:t xml:space="preserve"> or were still being planned</w:t>
      </w:r>
      <w:r w:rsidR="00C4595C">
        <w:rPr>
          <w:sz w:val="24"/>
          <w:szCs w:val="24"/>
        </w:rPr>
        <w:t>,</w:t>
      </w:r>
      <w:r w:rsidR="006A7DE0">
        <w:rPr>
          <w:sz w:val="24"/>
          <w:szCs w:val="24"/>
        </w:rPr>
        <w:t xml:space="preserve"> </w:t>
      </w:r>
      <w:r w:rsidR="005D2F06" w:rsidRPr="00C4595C">
        <w:rPr>
          <w:sz w:val="24"/>
          <w:szCs w:val="24"/>
        </w:rPr>
        <w:t xml:space="preserve">34% </w:t>
      </w:r>
      <w:r w:rsidR="00065933" w:rsidRPr="00C4595C">
        <w:rPr>
          <w:sz w:val="24"/>
          <w:szCs w:val="24"/>
        </w:rPr>
        <w:t xml:space="preserve">had been </w:t>
      </w:r>
      <w:r w:rsidR="005D2F06" w:rsidRPr="00C4595C">
        <w:rPr>
          <w:sz w:val="24"/>
          <w:szCs w:val="24"/>
        </w:rPr>
        <w:t>completed</w:t>
      </w:r>
      <w:r w:rsidR="00C4595C">
        <w:rPr>
          <w:sz w:val="24"/>
          <w:szCs w:val="24"/>
        </w:rPr>
        <w:t xml:space="preserve">, and </w:t>
      </w:r>
      <w:r w:rsidR="00C4595C" w:rsidRPr="00C4595C">
        <w:rPr>
          <w:sz w:val="24"/>
          <w:szCs w:val="24"/>
        </w:rPr>
        <w:t>46% were ongoing</w:t>
      </w:r>
      <w:r w:rsidR="00DD6D67" w:rsidRPr="00C4595C">
        <w:rPr>
          <w:sz w:val="24"/>
          <w:szCs w:val="24"/>
        </w:rPr>
        <w:t>.</w:t>
      </w:r>
      <w:r w:rsidR="005D2F06" w:rsidRPr="00C4595C">
        <w:rPr>
          <w:sz w:val="24"/>
          <w:szCs w:val="24"/>
        </w:rPr>
        <w:t xml:space="preserve"> Among the </w:t>
      </w:r>
      <w:r w:rsidR="00AF1292" w:rsidRPr="00C4595C">
        <w:rPr>
          <w:sz w:val="24"/>
          <w:szCs w:val="24"/>
        </w:rPr>
        <w:t xml:space="preserve">remaining </w:t>
      </w:r>
      <w:r w:rsidR="00E65C5F" w:rsidRPr="001410BC">
        <w:rPr>
          <w:sz w:val="24"/>
          <w:szCs w:val="24"/>
        </w:rPr>
        <w:t>counties</w:t>
      </w:r>
      <w:r w:rsidR="005D2F06" w:rsidRPr="001410BC">
        <w:rPr>
          <w:sz w:val="24"/>
          <w:szCs w:val="24"/>
        </w:rPr>
        <w:t xml:space="preserve"> </w:t>
      </w:r>
      <w:r w:rsidR="0031358A" w:rsidRPr="00C4595C">
        <w:rPr>
          <w:sz w:val="24"/>
          <w:szCs w:val="24"/>
        </w:rPr>
        <w:t xml:space="preserve">not using either </w:t>
      </w:r>
      <w:r w:rsidR="005D2F06" w:rsidRPr="00C4595C">
        <w:rPr>
          <w:sz w:val="24"/>
          <w:szCs w:val="24"/>
        </w:rPr>
        <w:t>PSE or coalition building</w:t>
      </w:r>
      <w:r w:rsidR="005D2F06">
        <w:rPr>
          <w:sz w:val="24"/>
          <w:szCs w:val="24"/>
        </w:rPr>
        <w:t xml:space="preserve"> strategies, 8 strategies were identified in the action plans, with </w:t>
      </w:r>
      <w:r w:rsidR="0031358A">
        <w:rPr>
          <w:sz w:val="24"/>
          <w:szCs w:val="24"/>
        </w:rPr>
        <w:t>1</w:t>
      </w:r>
      <w:r w:rsidR="005D2F06">
        <w:rPr>
          <w:sz w:val="24"/>
          <w:szCs w:val="24"/>
        </w:rPr>
        <w:t xml:space="preserve"> strategy not started, 1 ongoing, and the remaining 6 completed. </w:t>
      </w:r>
    </w:p>
    <w:p w14:paraId="7513896E" w14:textId="4534EB6A" w:rsidR="00452C05" w:rsidRDefault="00445AD8" w:rsidP="009F28EF">
      <w:pPr>
        <w:rPr>
          <w:sz w:val="24"/>
          <w:szCs w:val="24"/>
        </w:rPr>
      </w:pPr>
      <w:r>
        <w:rPr>
          <w:noProof/>
          <w:sz w:val="24"/>
          <w:szCs w:val="24"/>
        </w:rPr>
        <mc:AlternateContent>
          <mc:Choice Requires="wps">
            <w:drawing>
              <wp:anchor distT="0" distB="0" distL="114300" distR="114300" simplePos="0" relativeHeight="251658752" behindDoc="0" locked="0" layoutInCell="1" allowOverlap="1" wp14:anchorId="751389E1" wp14:editId="49FE8B5B">
                <wp:simplePos x="0" y="0"/>
                <wp:positionH relativeFrom="column">
                  <wp:posOffset>208280</wp:posOffset>
                </wp:positionH>
                <wp:positionV relativeFrom="paragraph">
                  <wp:posOffset>142240</wp:posOffset>
                </wp:positionV>
                <wp:extent cx="6311265" cy="1638300"/>
                <wp:effectExtent l="8255" t="8890" r="5080"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638300"/>
                        </a:xfrm>
                        <a:prstGeom prst="rect">
                          <a:avLst/>
                        </a:prstGeom>
                        <a:solidFill>
                          <a:srgbClr val="FFFFFF"/>
                        </a:solidFill>
                        <a:ln w="9525">
                          <a:solidFill>
                            <a:srgbClr val="000000"/>
                          </a:solidFill>
                          <a:miter lim="800000"/>
                          <a:headEnd/>
                          <a:tailEnd/>
                        </a:ln>
                      </wps:spPr>
                      <wps:txbx>
                        <w:txbxContent>
                          <w:p w14:paraId="751389F2" w14:textId="77777777" w:rsidR="00190108" w:rsidRDefault="00190108" w:rsidP="00E2350F">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Implementation</w:t>
                            </w:r>
                            <w:r w:rsidRPr="00E2350F">
                              <w:rPr>
                                <w:b/>
                                <w:sz w:val="24"/>
                                <w:szCs w:val="24"/>
                              </w:rPr>
                              <w:t>:</w:t>
                            </w:r>
                          </w:p>
                          <w:p w14:paraId="751389F3" w14:textId="77777777" w:rsidR="002D1A38" w:rsidRPr="00E2350F" w:rsidRDefault="002D1A38" w:rsidP="002B7E2D">
                            <w:pPr>
                              <w:rPr>
                                <w:b/>
                                <w:sz w:val="24"/>
                                <w:szCs w:val="24"/>
                              </w:rPr>
                            </w:pPr>
                            <w:r>
                              <w:rPr>
                                <w:b/>
                                <w:sz w:val="24"/>
                                <w:szCs w:val="24"/>
                              </w:rPr>
                              <w:t xml:space="preserve">The high percentage </w:t>
                            </w:r>
                            <w:r w:rsidRPr="00DA3743">
                              <w:rPr>
                                <w:b/>
                                <w:sz w:val="24"/>
                                <w:szCs w:val="24"/>
                              </w:rPr>
                              <w:t xml:space="preserve">of </w:t>
                            </w:r>
                            <w:r w:rsidR="00E65C5F" w:rsidRPr="00DA3743">
                              <w:rPr>
                                <w:b/>
                                <w:sz w:val="24"/>
                                <w:szCs w:val="24"/>
                              </w:rPr>
                              <w:t>counties</w:t>
                            </w:r>
                            <w:r w:rsidR="00E65C5F">
                              <w:rPr>
                                <w:b/>
                                <w:sz w:val="24"/>
                                <w:szCs w:val="24"/>
                              </w:rPr>
                              <w:t xml:space="preserve"> </w:t>
                            </w:r>
                            <w:r>
                              <w:rPr>
                                <w:b/>
                                <w:sz w:val="24"/>
                                <w:szCs w:val="24"/>
                              </w:rPr>
                              <w:t>wh</w:t>
                            </w:r>
                            <w:r w:rsidR="000B0415">
                              <w:rPr>
                                <w:b/>
                                <w:sz w:val="24"/>
                                <w:szCs w:val="24"/>
                              </w:rPr>
                              <w:t>ich</w:t>
                            </w:r>
                            <w:r>
                              <w:rPr>
                                <w:b/>
                                <w:sz w:val="24"/>
                                <w:szCs w:val="24"/>
                              </w:rPr>
                              <w:t xml:space="preserve"> were able to report PSE strategies that were ongoing or completed indicates that participants benefit from a training model which include</w:t>
                            </w:r>
                            <w:r w:rsidR="00706541">
                              <w:rPr>
                                <w:b/>
                                <w:sz w:val="24"/>
                                <w:szCs w:val="24"/>
                              </w:rPr>
                              <w:t xml:space="preserve">s </w:t>
                            </w:r>
                            <w:r>
                              <w:rPr>
                                <w:b/>
                                <w:sz w:val="24"/>
                                <w:szCs w:val="24"/>
                              </w:rPr>
                              <w:t xml:space="preserve">the deliverable of a written action plan and the expectation that they will report back on their progress. </w:t>
                            </w:r>
                            <w:r w:rsidR="001410BC">
                              <w:rPr>
                                <w:b/>
                                <w:sz w:val="24"/>
                                <w:szCs w:val="24"/>
                              </w:rPr>
                              <w:t xml:space="preserve"> The expectation</w:t>
                            </w:r>
                            <w:r>
                              <w:rPr>
                                <w:b/>
                                <w:sz w:val="24"/>
                                <w:szCs w:val="24"/>
                              </w:rPr>
                              <w:t xml:space="preserve"> of follow up</w:t>
                            </w:r>
                            <w:r w:rsidR="001410BC">
                              <w:rPr>
                                <w:b/>
                                <w:sz w:val="24"/>
                                <w:szCs w:val="24"/>
                              </w:rPr>
                              <w:t xml:space="preserve"> on implementation</w:t>
                            </w:r>
                            <w:r>
                              <w:rPr>
                                <w:b/>
                                <w:sz w:val="24"/>
                                <w:szCs w:val="24"/>
                              </w:rPr>
                              <w:t xml:space="preserve"> should be incorporated into all expert trainings that are offered </w:t>
                            </w:r>
                            <w:r w:rsidR="00706541">
                              <w:rPr>
                                <w:b/>
                                <w:sz w:val="24"/>
                                <w:szCs w:val="24"/>
                              </w:rPr>
                              <w:t>on</w:t>
                            </w:r>
                            <w:r>
                              <w:rPr>
                                <w:b/>
                                <w:sz w:val="24"/>
                                <w:szCs w:val="24"/>
                              </w:rPr>
                              <w:t xml:space="preserve"> policy, systems and environmental change</w:t>
                            </w:r>
                            <w:r w:rsidR="001B29E1">
                              <w:rPr>
                                <w:b/>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16.4pt;margin-top:11.2pt;width:496.95pt;height:12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ddLQIAAFgEAAAOAAAAZHJzL2Uyb0RvYy54bWysVNuO0zAQfUfiHyy/0yS90Y2arpYuRUjL&#10;RdrlAxzHaSwc24zdJuXrd+ykpVrgBZEHy+MZH8+cM5P1bd8qchTgpNEFzSYpJUJzU0m9L+i3p92b&#10;FSXOM10xZbQo6Ek4ert5/Wrd2VxMTWNUJYAgiHZ5ZwvaeG/zJHG8ES1zE2OFRmdtoGUeTdgnFbAO&#10;0VuVTNN0mXQGKguGC+fw9H5w0k3Er2vB/Ze6dsITVVDMzccV4lqGNdmsWb4HZhvJxzTYP2TRMqnx&#10;0QvUPfOMHED+BtVKDsaZ2k+4aRNT15KLWANWk6UvqnlsmBWxFiTH2QtN7v/B8s/Hr0BkVdA5JZq1&#10;KNGT6D15Z3qyCOx01uUY9GgxzPd4jCrHSp19MPy7I9psG6b34g7AdI1gFWaXhZvJ1dUBxwWQsvtk&#10;KnyGHbyJQH0NbaAOySCIjiqdLsqEVDgeLmdZNl0uKOHoy5az1SyN2iUsP1+34PwHYVoSNgUFlD7C&#10;s+OD8yEdlp9DwmvOKFntpFLRgH25VUCODNtkF79YwYswpUlX0JvFdDEw8FeINH5/gmilx35Xsi3o&#10;6hLE8sDbe13FbvRMqmGPKSs9Ehm4G1j0fdmPio36lKY6IbNghvbGccRNY+AnJR22dkHdjwMDQYn6&#10;qFGdm2w+D7MQjfni7RQNuPaU1x6mOUIV1FMybLd+mJ+DBblv8KVzP9yhojsZuQ7SD1mN6WP7RgnG&#10;UQvzcW3HqF8/hM0zAAAA//8DAFBLAwQUAAYACAAAACEAU35tVd4AAAAKAQAADwAAAGRycy9kb3du&#10;cmV2LnhtbEyPwW7CMBBE75X6D9ZW6gUVuwZSFOKgFolTT6T0buIliRqvU9tA+PuaUznuzGjmbbEe&#10;bc/O6EPnSMHrVABDqp3pqFGw/9q+LIGFqMno3hEquGKAdfn4UOjcuAvt8FzFhqUSCrlW0MY45JyH&#10;ukWrw9QNSMk7Om91TKdvuPH6ksptz6UQGbe6o7TQ6gE3LdY/1ckqyH6r2eTz20xod91++NouzGa/&#10;UOr5aXxfAYs4xv8w3PATOpSJ6eBOZALrFcxkIo8KpJwDu/lCZm/ADklZijnwsuD3L5R/AAAA//8D&#10;AFBLAQItABQABgAIAAAAIQC2gziS/gAAAOEBAAATAAAAAAAAAAAAAAAAAAAAAABbQ29udGVudF9U&#10;eXBlc10ueG1sUEsBAi0AFAAGAAgAAAAhADj9If/WAAAAlAEAAAsAAAAAAAAAAAAAAAAALwEAAF9y&#10;ZWxzLy5yZWxzUEsBAi0AFAAGAAgAAAAhABzxB10tAgAAWAQAAA4AAAAAAAAAAAAAAAAALgIAAGRy&#10;cy9lMm9Eb2MueG1sUEsBAi0AFAAGAAgAAAAhAFN+bVXeAAAACgEAAA8AAAAAAAAAAAAAAAAAhwQA&#10;AGRycy9kb3ducmV2LnhtbFBLBQYAAAAABAAEAPMAAACSBQAAAAA=&#10;">
                <v:textbox style="mso-fit-shape-to-text:t">
                  <w:txbxContent>
                    <w:p w14:paraId="751389F2" w14:textId="77777777" w:rsidR="00190108" w:rsidRDefault="00190108" w:rsidP="00E2350F">
                      <w:pPr>
                        <w:jc w:val="center"/>
                        <w:rPr>
                          <w:b/>
                          <w:sz w:val="24"/>
                          <w:szCs w:val="24"/>
                        </w:rPr>
                      </w:pPr>
                      <w:r w:rsidRPr="00E2350F">
                        <w:rPr>
                          <w:b/>
                          <w:sz w:val="24"/>
                          <w:szCs w:val="24"/>
                        </w:rPr>
                        <w:t xml:space="preserve">Recommended Action </w:t>
                      </w:r>
                      <w:r>
                        <w:rPr>
                          <w:b/>
                          <w:sz w:val="24"/>
                          <w:szCs w:val="24"/>
                        </w:rPr>
                        <w:t>for</w:t>
                      </w:r>
                      <w:r w:rsidRPr="00E2350F">
                        <w:rPr>
                          <w:b/>
                          <w:sz w:val="24"/>
                          <w:szCs w:val="24"/>
                        </w:rPr>
                        <w:t xml:space="preserve"> </w:t>
                      </w:r>
                      <w:r>
                        <w:rPr>
                          <w:b/>
                          <w:sz w:val="24"/>
                          <w:szCs w:val="24"/>
                        </w:rPr>
                        <w:t>Implementation</w:t>
                      </w:r>
                      <w:r w:rsidRPr="00E2350F">
                        <w:rPr>
                          <w:b/>
                          <w:sz w:val="24"/>
                          <w:szCs w:val="24"/>
                        </w:rPr>
                        <w:t>:</w:t>
                      </w:r>
                    </w:p>
                    <w:p w14:paraId="751389F3" w14:textId="77777777" w:rsidR="002D1A38" w:rsidRPr="00E2350F" w:rsidRDefault="002D1A38" w:rsidP="002B7E2D">
                      <w:pPr>
                        <w:rPr>
                          <w:b/>
                          <w:sz w:val="24"/>
                          <w:szCs w:val="24"/>
                        </w:rPr>
                      </w:pPr>
                      <w:r>
                        <w:rPr>
                          <w:b/>
                          <w:sz w:val="24"/>
                          <w:szCs w:val="24"/>
                        </w:rPr>
                        <w:t xml:space="preserve">The high percentage </w:t>
                      </w:r>
                      <w:r w:rsidRPr="00DA3743">
                        <w:rPr>
                          <w:b/>
                          <w:sz w:val="24"/>
                          <w:szCs w:val="24"/>
                        </w:rPr>
                        <w:t xml:space="preserve">of </w:t>
                      </w:r>
                      <w:r w:rsidR="00E65C5F" w:rsidRPr="00DA3743">
                        <w:rPr>
                          <w:b/>
                          <w:sz w:val="24"/>
                          <w:szCs w:val="24"/>
                        </w:rPr>
                        <w:t>counties</w:t>
                      </w:r>
                      <w:r w:rsidR="00E65C5F">
                        <w:rPr>
                          <w:b/>
                          <w:sz w:val="24"/>
                          <w:szCs w:val="24"/>
                        </w:rPr>
                        <w:t xml:space="preserve"> </w:t>
                      </w:r>
                      <w:r>
                        <w:rPr>
                          <w:b/>
                          <w:sz w:val="24"/>
                          <w:szCs w:val="24"/>
                        </w:rPr>
                        <w:t>wh</w:t>
                      </w:r>
                      <w:r w:rsidR="000B0415">
                        <w:rPr>
                          <w:b/>
                          <w:sz w:val="24"/>
                          <w:szCs w:val="24"/>
                        </w:rPr>
                        <w:t>ich</w:t>
                      </w:r>
                      <w:r>
                        <w:rPr>
                          <w:b/>
                          <w:sz w:val="24"/>
                          <w:szCs w:val="24"/>
                        </w:rPr>
                        <w:t xml:space="preserve"> were able to report PSE strategies that were ongoing or completed indicates that participants benefit from a training model which include</w:t>
                      </w:r>
                      <w:r w:rsidR="00706541">
                        <w:rPr>
                          <w:b/>
                          <w:sz w:val="24"/>
                          <w:szCs w:val="24"/>
                        </w:rPr>
                        <w:t xml:space="preserve">s </w:t>
                      </w:r>
                      <w:r>
                        <w:rPr>
                          <w:b/>
                          <w:sz w:val="24"/>
                          <w:szCs w:val="24"/>
                        </w:rPr>
                        <w:t xml:space="preserve">the deliverable of a written action plan and the expectation that they will report back on their progress. </w:t>
                      </w:r>
                      <w:r w:rsidR="001410BC">
                        <w:rPr>
                          <w:b/>
                          <w:sz w:val="24"/>
                          <w:szCs w:val="24"/>
                        </w:rPr>
                        <w:t xml:space="preserve"> The expectation</w:t>
                      </w:r>
                      <w:r>
                        <w:rPr>
                          <w:b/>
                          <w:sz w:val="24"/>
                          <w:szCs w:val="24"/>
                        </w:rPr>
                        <w:t xml:space="preserve"> of follow up</w:t>
                      </w:r>
                      <w:r w:rsidR="001410BC">
                        <w:rPr>
                          <w:b/>
                          <w:sz w:val="24"/>
                          <w:szCs w:val="24"/>
                        </w:rPr>
                        <w:t xml:space="preserve"> on implementation</w:t>
                      </w:r>
                      <w:r>
                        <w:rPr>
                          <w:b/>
                          <w:sz w:val="24"/>
                          <w:szCs w:val="24"/>
                        </w:rPr>
                        <w:t xml:space="preserve"> should be incorporated into all expert trainings that are offered </w:t>
                      </w:r>
                      <w:r w:rsidR="00706541">
                        <w:rPr>
                          <w:b/>
                          <w:sz w:val="24"/>
                          <w:szCs w:val="24"/>
                        </w:rPr>
                        <w:t>on</w:t>
                      </w:r>
                      <w:r>
                        <w:rPr>
                          <w:b/>
                          <w:sz w:val="24"/>
                          <w:szCs w:val="24"/>
                        </w:rPr>
                        <w:t xml:space="preserve"> policy, systems and environmental change</w:t>
                      </w:r>
                      <w:r w:rsidR="001B29E1">
                        <w:rPr>
                          <w:b/>
                          <w:sz w:val="24"/>
                          <w:szCs w:val="24"/>
                        </w:rPr>
                        <w:t>.</w:t>
                      </w:r>
                    </w:p>
                  </w:txbxContent>
                </v:textbox>
              </v:shape>
            </w:pict>
          </mc:Fallback>
        </mc:AlternateContent>
      </w:r>
    </w:p>
    <w:p w14:paraId="7513896F" w14:textId="77777777" w:rsidR="00452C05" w:rsidRDefault="00452C05" w:rsidP="009F28EF">
      <w:pPr>
        <w:rPr>
          <w:sz w:val="24"/>
          <w:szCs w:val="24"/>
        </w:rPr>
      </w:pPr>
    </w:p>
    <w:p w14:paraId="75138970" w14:textId="77777777" w:rsidR="00452C05" w:rsidRDefault="00452C05" w:rsidP="009F28EF">
      <w:pPr>
        <w:rPr>
          <w:sz w:val="24"/>
          <w:szCs w:val="24"/>
        </w:rPr>
      </w:pPr>
    </w:p>
    <w:p w14:paraId="75138971" w14:textId="77777777" w:rsidR="00190108" w:rsidRDefault="00190108" w:rsidP="001E07B7">
      <w:pPr>
        <w:rPr>
          <w:b/>
          <w:sz w:val="24"/>
          <w:szCs w:val="24"/>
        </w:rPr>
      </w:pPr>
    </w:p>
    <w:p w14:paraId="75138972" w14:textId="77777777" w:rsidR="000B0415" w:rsidRDefault="000B0415" w:rsidP="001E07B7">
      <w:pPr>
        <w:rPr>
          <w:b/>
          <w:sz w:val="24"/>
          <w:szCs w:val="24"/>
        </w:rPr>
      </w:pPr>
    </w:p>
    <w:p w14:paraId="75138973" w14:textId="77777777" w:rsidR="000B0415" w:rsidRDefault="000B0415" w:rsidP="001E07B7">
      <w:pPr>
        <w:rPr>
          <w:b/>
          <w:sz w:val="24"/>
          <w:szCs w:val="24"/>
        </w:rPr>
      </w:pPr>
    </w:p>
    <w:p w14:paraId="75138974" w14:textId="77777777" w:rsidR="00791308" w:rsidRDefault="001E07B7" w:rsidP="001E07B7">
      <w:pPr>
        <w:rPr>
          <w:sz w:val="24"/>
          <w:szCs w:val="24"/>
        </w:rPr>
      </w:pPr>
      <w:r>
        <w:rPr>
          <w:b/>
          <w:sz w:val="24"/>
          <w:szCs w:val="24"/>
        </w:rPr>
        <w:t xml:space="preserve">Maintenance: </w:t>
      </w:r>
      <w:r>
        <w:rPr>
          <w:sz w:val="24"/>
          <w:szCs w:val="24"/>
        </w:rPr>
        <w:t>Maintenance is defined in the RE-AIM framework as “the extent to which a program is sustained over time</w:t>
      </w:r>
      <w:r w:rsidR="00120363">
        <w:rPr>
          <w:sz w:val="24"/>
          <w:szCs w:val="24"/>
        </w:rPr>
        <w:t>”.</w:t>
      </w:r>
      <w:r>
        <w:rPr>
          <w:sz w:val="24"/>
          <w:szCs w:val="24"/>
          <w:vertAlign w:val="superscript"/>
        </w:rPr>
        <w:t>2</w:t>
      </w:r>
      <w:r>
        <w:rPr>
          <w:sz w:val="24"/>
          <w:szCs w:val="24"/>
        </w:rPr>
        <w:t xml:space="preserve"> </w:t>
      </w:r>
      <w:r w:rsidR="008B4D42">
        <w:rPr>
          <w:sz w:val="24"/>
          <w:szCs w:val="24"/>
        </w:rPr>
        <w:t xml:space="preserve"> For the purpose of this evaluation, the outcome measure of maintenance was </w:t>
      </w:r>
      <w:r w:rsidR="00AB2567">
        <w:rPr>
          <w:sz w:val="24"/>
          <w:szCs w:val="24"/>
        </w:rPr>
        <w:t xml:space="preserve"> </w:t>
      </w:r>
      <w:r w:rsidR="008B4D42">
        <w:rPr>
          <w:sz w:val="24"/>
          <w:szCs w:val="24"/>
        </w:rPr>
        <w:t xml:space="preserve">the proportion </w:t>
      </w:r>
      <w:r w:rsidR="008B4D42" w:rsidRPr="00DA3743">
        <w:rPr>
          <w:sz w:val="24"/>
          <w:szCs w:val="24"/>
        </w:rPr>
        <w:t xml:space="preserve">of </w:t>
      </w:r>
      <w:r w:rsidR="00E65C5F" w:rsidRPr="00DA3743">
        <w:rPr>
          <w:sz w:val="24"/>
          <w:szCs w:val="24"/>
        </w:rPr>
        <w:t>counties</w:t>
      </w:r>
      <w:r w:rsidR="008B4D42" w:rsidRPr="00E65C5F">
        <w:rPr>
          <w:color w:val="FF0000"/>
          <w:sz w:val="24"/>
          <w:szCs w:val="24"/>
        </w:rPr>
        <w:t xml:space="preserve"> </w:t>
      </w:r>
      <w:r w:rsidR="008B4D42">
        <w:rPr>
          <w:sz w:val="24"/>
          <w:szCs w:val="24"/>
        </w:rPr>
        <w:t xml:space="preserve">which indicated </w:t>
      </w:r>
      <w:r w:rsidR="00C264F6">
        <w:rPr>
          <w:sz w:val="24"/>
          <w:szCs w:val="24"/>
        </w:rPr>
        <w:t xml:space="preserve">that </w:t>
      </w:r>
      <w:r w:rsidR="008B4D42">
        <w:rPr>
          <w:sz w:val="24"/>
          <w:szCs w:val="24"/>
        </w:rPr>
        <w:t xml:space="preserve">work on one </w:t>
      </w:r>
      <w:r w:rsidR="00C264F6">
        <w:rPr>
          <w:sz w:val="24"/>
          <w:szCs w:val="24"/>
        </w:rPr>
        <w:t xml:space="preserve">specific </w:t>
      </w:r>
      <w:r w:rsidR="008B4D42">
        <w:rPr>
          <w:sz w:val="24"/>
          <w:szCs w:val="24"/>
        </w:rPr>
        <w:t xml:space="preserve">strategy from their </w:t>
      </w:r>
      <w:r w:rsidR="00C264F6">
        <w:rPr>
          <w:sz w:val="24"/>
          <w:szCs w:val="24"/>
        </w:rPr>
        <w:t>a</w:t>
      </w:r>
      <w:r w:rsidR="008B4D42">
        <w:rPr>
          <w:sz w:val="24"/>
          <w:szCs w:val="24"/>
        </w:rPr>
        <w:t xml:space="preserve">ction </w:t>
      </w:r>
      <w:r w:rsidR="00C264F6">
        <w:rPr>
          <w:sz w:val="24"/>
          <w:szCs w:val="24"/>
        </w:rPr>
        <w:t>p</w:t>
      </w:r>
      <w:r w:rsidR="008B4D42">
        <w:rPr>
          <w:sz w:val="24"/>
          <w:szCs w:val="24"/>
        </w:rPr>
        <w:t>lan</w:t>
      </w:r>
      <w:r w:rsidR="00C264F6">
        <w:rPr>
          <w:sz w:val="24"/>
          <w:szCs w:val="24"/>
        </w:rPr>
        <w:t>s</w:t>
      </w:r>
      <w:r w:rsidR="008B4D42">
        <w:rPr>
          <w:sz w:val="24"/>
          <w:szCs w:val="24"/>
        </w:rPr>
        <w:t xml:space="preserve"> was either completed</w:t>
      </w:r>
      <w:r w:rsidR="008B6E7A">
        <w:rPr>
          <w:sz w:val="24"/>
          <w:szCs w:val="24"/>
        </w:rPr>
        <w:t xml:space="preserve"> as defined </w:t>
      </w:r>
      <w:r w:rsidR="00C264F6">
        <w:rPr>
          <w:sz w:val="24"/>
          <w:szCs w:val="24"/>
        </w:rPr>
        <w:t>in</w:t>
      </w:r>
      <w:r w:rsidR="008B6E7A">
        <w:rPr>
          <w:sz w:val="24"/>
          <w:szCs w:val="24"/>
        </w:rPr>
        <w:t xml:space="preserve"> the action </w:t>
      </w:r>
      <w:r w:rsidR="00C264F6">
        <w:rPr>
          <w:sz w:val="24"/>
          <w:szCs w:val="24"/>
        </w:rPr>
        <w:t>plans</w:t>
      </w:r>
      <w:r w:rsidR="00AB2567">
        <w:rPr>
          <w:sz w:val="24"/>
          <w:szCs w:val="24"/>
        </w:rPr>
        <w:t>,</w:t>
      </w:r>
      <w:r w:rsidR="008B6E7A">
        <w:rPr>
          <w:sz w:val="24"/>
          <w:szCs w:val="24"/>
        </w:rPr>
        <w:t xml:space="preserve"> was ongoing</w:t>
      </w:r>
      <w:r w:rsidR="00AB2567">
        <w:rPr>
          <w:sz w:val="24"/>
          <w:szCs w:val="24"/>
        </w:rPr>
        <w:t xml:space="preserve"> </w:t>
      </w:r>
      <w:r w:rsidR="008B6E7A">
        <w:rPr>
          <w:sz w:val="24"/>
          <w:szCs w:val="24"/>
        </w:rPr>
        <w:t xml:space="preserve"> or </w:t>
      </w:r>
      <w:r w:rsidR="00C264F6">
        <w:rPr>
          <w:sz w:val="24"/>
          <w:szCs w:val="24"/>
        </w:rPr>
        <w:t xml:space="preserve">was </w:t>
      </w:r>
      <w:r w:rsidR="008B6E7A">
        <w:rPr>
          <w:sz w:val="24"/>
          <w:szCs w:val="24"/>
        </w:rPr>
        <w:t xml:space="preserve">completed with additional work beyond that defined in the action plan.  To assess this measure, </w:t>
      </w:r>
      <w:r w:rsidR="00C264F6">
        <w:rPr>
          <w:sz w:val="24"/>
          <w:szCs w:val="24"/>
        </w:rPr>
        <w:t>nearly two years following the start of the Initiative, and eighteen months after the Action Institute</w:t>
      </w:r>
      <w:r w:rsidR="00E65C5F">
        <w:rPr>
          <w:sz w:val="24"/>
          <w:szCs w:val="24"/>
        </w:rPr>
        <w:t>,</w:t>
      </w:r>
      <w:r w:rsidR="00E65C5F" w:rsidRPr="00E65C5F">
        <w:rPr>
          <w:sz w:val="24"/>
          <w:szCs w:val="24"/>
        </w:rPr>
        <w:t xml:space="preserve"> </w:t>
      </w:r>
      <w:r w:rsidR="00E65C5F">
        <w:rPr>
          <w:sz w:val="24"/>
          <w:szCs w:val="24"/>
        </w:rPr>
        <w:t>telephone interviews were made</w:t>
      </w:r>
      <w:r w:rsidR="00C264F6">
        <w:rPr>
          <w:sz w:val="24"/>
          <w:szCs w:val="24"/>
        </w:rPr>
        <w:t xml:space="preserve"> to all 56</w:t>
      </w:r>
      <w:r w:rsidR="008B6E7A">
        <w:rPr>
          <w:sz w:val="24"/>
          <w:szCs w:val="24"/>
        </w:rPr>
        <w:t xml:space="preserve"> </w:t>
      </w:r>
      <w:r w:rsidR="00E65C5F">
        <w:rPr>
          <w:sz w:val="24"/>
          <w:szCs w:val="24"/>
        </w:rPr>
        <w:t>counties</w:t>
      </w:r>
      <w:r w:rsidR="008B6E7A">
        <w:rPr>
          <w:sz w:val="24"/>
          <w:szCs w:val="24"/>
        </w:rPr>
        <w:t xml:space="preserve"> which participated in the Initiative</w:t>
      </w:r>
      <w:r w:rsidR="00C264F6">
        <w:rPr>
          <w:sz w:val="24"/>
          <w:szCs w:val="24"/>
        </w:rPr>
        <w:t xml:space="preserve">. </w:t>
      </w:r>
      <w:r w:rsidR="008B6E7A">
        <w:rPr>
          <w:sz w:val="24"/>
          <w:szCs w:val="24"/>
        </w:rPr>
        <w:t xml:space="preserve"> </w:t>
      </w:r>
      <w:r w:rsidR="00FF0CB9">
        <w:rPr>
          <w:sz w:val="24"/>
          <w:szCs w:val="24"/>
        </w:rPr>
        <w:t>Telephone interviews were completed</w:t>
      </w:r>
      <w:r w:rsidR="00065933">
        <w:rPr>
          <w:sz w:val="24"/>
          <w:szCs w:val="24"/>
        </w:rPr>
        <w:t xml:space="preserve"> </w:t>
      </w:r>
      <w:r w:rsidR="00404AF6">
        <w:rPr>
          <w:sz w:val="24"/>
          <w:szCs w:val="24"/>
        </w:rPr>
        <w:t xml:space="preserve"> with </w:t>
      </w:r>
      <w:r w:rsidR="00065933">
        <w:rPr>
          <w:sz w:val="24"/>
          <w:szCs w:val="24"/>
        </w:rPr>
        <w:t xml:space="preserve">80% of all </w:t>
      </w:r>
      <w:r w:rsidR="00065933" w:rsidRPr="00DA3743">
        <w:rPr>
          <w:sz w:val="24"/>
          <w:szCs w:val="24"/>
        </w:rPr>
        <w:t xml:space="preserve">participating </w:t>
      </w:r>
      <w:r w:rsidR="00404AF6" w:rsidRPr="00DA3743">
        <w:rPr>
          <w:sz w:val="24"/>
          <w:szCs w:val="24"/>
        </w:rPr>
        <w:t>counties</w:t>
      </w:r>
      <w:r w:rsidR="00065933" w:rsidRPr="00404AF6">
        <w:rPr>
          <w:color w:val="FF0000"/>
          <w:sz w:val="24"/>
          <w:szCs w:val="24"/>
        </w:rPr>
        <w:t xml:space="preserve"> </w:t>
      </w:r>
      <w:r w:rsidR="00065933">
        <w:rPr>
          <w:sz w:val="24"/>
          <w:szCs w:val="24"/>
        </w:rPr>
        <w:t>and</w:t>
      </w:r>
      <w:r w:rsidR="00C264F6">
        <w:rPr>
          <w:sz w:val="24"/>
          <w:szCs w:val="24"/>
        </w:rPr>
        <w:t xml:space="preserve"> </w:t>
      </w:r>
      <w:r w:rsidR="00065933">
        <w:rPr>
          <w:sz w:val="24"/>
          <w:szCs w:val="24"/>
        </w:rPr>
        <w:t xml:space="preserve">84% of </w:t>
      </w:r>
      <w:r w:rsidR="00065933" w:rsidRPr="00DA3743">
        <w:rPr>
          <w:sz w:val="24"/>
          <w:szCs w:val="24"/>
        </w:rPr>
        <w:t>those</w:t>
      </w:r>
      <w:r w:rsidR="00C264F6" w:rsidRPr="00DA3743">
        <w:rPr>
          <w:sz w:val="24"/>
          <w:szCs w:val="24"/>
        </w:rPr>
        <w:t xml:space="preserve"> </w:t>
      </w:r>
      <w:r w:rsidR="00404AF6" w:rsidRPr="00DA3743">
        <w:rPr>
          <w:sz w:val="24"/>
          <w:szCs w:val="24"/>
        </w:rPr>
        <w:t>counties</w:t>
      </w:r>
      <w:r w:rsidR="00C264F6" w:rsidRPr="00DA3743">
        <w:rPr>
          <w:sz w:val="24"/>
          <w:szCs w:val="24"/>
        </w:rPr>
        <w:t xml:space="preserve"> which</w:t>
      </w:r>
      <w:r w:rsidR="00C264F6">
        <w:rPr>
          <w:sz w:val="24"/>
          <w:szCs w:val="24"/>
        </w:rPr>
        <w:t xml:space="preserve"> included at either least one PSE change strategy coalition building or coalition building in the action plans.  Of these, only 10% had yet to begin </w:t>
      </w:r>
      <w:r w:rsidR="00791308">
        <w:rPr>
          <w:sz w:val="24"/>
          <w:szCs w:val="24"/>
        </w:rPr>
        <w:t xml:space="preserve">implementing </w:t>
      </w:r>
      <w:r w:rsidR="00C264F6">
        <w:rPr>
          <w:sz w:val="24"/>
          <w:szCs w:val="24"/>
        </w:rPr>
        <w:t>this strategy, 29% had completed the strategy with no further work</w:t>
      </w:r>
      <w:r w:rsidR="00791308">
        <w:rPr>
          <w:sz w:val="24"/>
          <w:szCs w:val="24"/>
        </w:rPr>
        <w:t xml:space="preserve">, 12% had completed work on the strategy along with reporting additional work, and 49% indicated work on the strategy was ongoing. </w:t>
      </w:r>
      <w:r w:rsidR="00C264F6">
        <w:rPr>
          <w:sz w:val="24"/>
          <w:szCs w:val="24"/>
        </w:rPr>
        <w:t xml:space="preserve"> </w:t>
      </w:r>
      <w:r w:rsidR="00851F53">
        <w:rPr>
          <w:sz w:val="24"/>
          <w:szCs w:val="24"/>
        </w:rPr>
        <w:t xml:space="preserve">Interviews with representatives from counties that either did not have PSE or coalition building in their action plans or reported being unable to implement strategies from their action plans reported activity concentrated on early states of implementation. </w:t>
      </w:r>
      <w:r w:rsidR="002165A5">
        <w:rPr>
          <w:sz w:val="24"/>
          <w:szCs w:val="24"/>
        </w:rPr>
        <w:t xml:space="preserve"> Finally,  eighteen months after the training, 82% of respondents reported  that coalitions consisting of three or more partners were directly involved in carrying out the strategy under discussion.  </w:t>
      </w:r>
    </w:p>
    <w:p w14:paraId="75138975" w14:textId="5F2D0A1B" w:rsidR="00E2350F" w:rsidRDefault="00445AD8" w:rsidP="001E07B7">
      <w:pPr>
        <w:rPr>
          <w:b/>
          <w:sz w:val="24"/>
          <w:szCs w:val="24"/>
        </w:rPr>
      </w:pPr>
      <w:r>
        <w:rPr>
          <w:b/>
          <w:noProof/>
          <w:sz w:val="24"/>
          <w:szCs w:val="24"/>
        </w:rPr>
        <w:lastRenderedPageBreak/>
        <mc:AlternateContent>
          <mc:Choice Requires="wps">
            <w:drawing>
              <wp:anchor distT="0" distB="0" distL="114300" distR="114300" simplePos="0" relativeHeight="251659776" behindDoc="0" locked="0" layoutInCell="1" allowOverlap="1" wp14:anchorId="751389E2" wp14:editId="07DA5CF6">
                <wp:simplePos x="0" y="0"/>
                <wp:positionH relativeFrom="column">
                  <wp:posOffset>-6350</wp:posOffset>
                </wp:positionH>
                <wp:positionV relativeFrom="paragraph">
                  <wp:posOffset>33020</wp:posOffset>
                </wp:positionV>
                <wp:extent cx="6311265" cy="1168400"/>
                <wp:effectExtent l="12700" t="13970" r="1016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168400"/>
                        </a:xfrm>
                        <a:prstGeom prst="rect">
                          <a:avLst/>
                        </a:prstGeom>
                        <a:solidFill>
                          <a:srgbClr val="FFFFFF"/>
                        </a:solidFill>
                        <a:ln w="9525">
                          <a:solidFill>
                            <a:srgbClr val="000000"/>
                          </a:solidFill>
                          <a:miter lim="800000"/>
                          <a:headEnd/>
                          <a:tailEnd/>
                        </a:ln>
                      </wps:spPr>
                      <wps:txbx>
                        <w:txbxContent>
                          <w:p w14:paraId="751389F4" w14:textId="77777777" w:rsidR="00190108" w:rsidRPr="00E2350F" w:rsidRDefault="00190108" w:rsidP="00E2350F">
                            <w:pPr>
                              <w:jc w:val="center"/>
                              <w:rPr>
                                <w:b/>
                                <w:sz w:val="24"/>
                                <w:szCs w:val="24"/>
                              </w:rPr>
                            </w:pPr>
                            <w:r w:rsidRPr="00E2350F">
                              <w:rPr>
                                <w:b/>
                                <w:sz w:val="24"/>
                                <w:szCs w:val="24"/>
                              </w:rPr>
                              <w:t xml:space="preserve">Recommended Action </w:t>
                            </w:r>
                            <w:r>
                              <w:rPr>
                                <w:b/>
                                <w:sz w:val="24"/>
                                <w:szCs w:val="24"/>
                              </w:rPr>
                              <w:t>for Maintenance</w:t>
                            </w:r>
                            <w:r w:rsidRPr="00E2350F">
                              <w:rPr>
                                <w:b/>
                                <w:sz w:val="24"/>
                                <w:szCs w:val="24"/>
                              </w:rPr>
                              <w:t>:</w:t>
                            </w:r>
                          </w:p>
                          <w:p w14:paraId="751389F5" w14:textId="40CCCD0A" w:rsidR="00190108" w:rsidRPr="00E2350F" w:rsidRDefault="003366F3" w:rsidP="00E2350F">
                            <w:pPr>
                              <w:jc w:val="center"/>
                              <w:rPr>
                                <w:b/>
                              </w:rPr>
                            </w:pPr>
                            <w:r>
                              <w:rPr>
                                <w:b/>
                              </w:rPr>
                              <w:t>Two years out from the training, over half of the counties indicated work from their action plans was ongoing. Future training should cover ways to assist counties in taking on policy and system change strategies which are more compl</w:t>
                            </w:r>
                            <w:r w:rsidR="00445AD8">
                              <w:rPr>
                                <w:b/>
                              </w:rPr>
                              <w:t>icated</w:t>
                            </w:r>
                            <w:r>
                              <w:rPr>
                                <w:b/>
                              </w:rPr>
                              <w:t xml:space="preserve"> or take longer to accomplish.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pt;margin-top:2.6pt;width:496.9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WNLgIAAFg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aUaNaj&#10;RE9i9OQtjGQZ2BmMKzDo0WCYH/EYVY6VOvMA/JsjGrYd0624sxaGTrAas8vCzeTq6oTjAkg1fIQa&#10;n2F7DxFobGwfqEMyCKKjSseLMiEVjofL11mWLxeUcPRl2XI1T6N2CSvO1411/r2AnoRNSS1KH+HZ&#10;4cH5kA4rziHhNQdK1jupVDRsW22VJQeGbbKLX6zgWZjSZCjpzSJfTAz8FSKN358geumx35XsS7q6&#10;BLEi8PZO17EbPZNq2mPKSp+IDNxNLPqxGqNii7M+FdRHZNbC1N44jrjpwP6gZMDWLqn7vmdWUKI+&#10;aFTnJpvPwyxEY754k6Nhrz3VtYdpjlAl9ZRM262f5mdvrGw7fGnqBw13qGgjI9dB+imrU/rYvlGC&#10;06iF+bi2Y9SvH8LmJwAAAP//AwBQSwMEFAAGAAgAAAAhAMiErH7fAAAACAEAAA8AAABkcnMvZG93&#10;bnJldi54bWxMj8FOwzAQRO9I/IO1SFxQ6zRAiUOcCiGB6A3aCq5u7CYR9jrYbhr+nuUEx9GMZt5U&#10;q8lZNpoQe48SFvMMmMHG6x5bCbvt06wAFpNCraxHI+HbRFjV52eVKrU/4ZsZN6llVIKxVBK6lIaS&#10;89h0xqk494NB8g4+OJVIhpbroE5U7izPs2zJneqRFjo1mMfONJ+bo5NQ3LyMH3F9/freLA9WpKu7&#10;8fkrSHl5MT3cA0tmSn9h+MUndKiJae+PqCOzEmYLupIk3ObAyBYiF8D2lCtEDryu+P8D9Q8AAAD/&#10;/wMAUEsBAi0AFAAGAAgAAAAhALaDOJL+AAAA4QEAABMAAAAAAAAAAAAAAAAAAAAAAFtDb250ZW50&#10;X1R5cGVzXS54bWxQSwECLQAUAAYACAAAACEAOP0h/9YAAACUAQAACwAAAAAAAAAAAAAAAAAvAQAA&#10;X3JlbHMvLnJlbHNQSwECLQAUAAYACAAAACEAdpR1jS4CAABYBAAADgAAAAAAAAAAAAAAAAAuAgAA&#10;ZHJzL2Uyb0RvYy54bWxQSwECLQAUAAYACAAAACEAyISsft8AAAAIAQAADwAAAAAAAAAAAAAAAACI&#10;BAAAZHJzL2Rvd25yZXYueG1sUEsFBgAAAAAEAAQA8wAAAJQFAAAAAA==&#10;">
                <v:textbox>
                  <w:txbxContent>
                    <w:p w14:paraId="751389F4" w14:textId="77777777" w:rsidR="00190108" w:rsidRPr="00E2350F" w:rsidRDefault="00190108" w:rsidP="00E2350F">
                      <w:pPr>
                        <w:jc w:val="center"/>
                        <w:rPr>
                          <w:b/>
                          <w:sz w:val="24"/>
                          <w:szCs w:val="24"/>
                        </w:rPr>
                      </w:pPr>
                      <w:r w:rsidRPr="00E2350F">
                        <w:rPr>
                          <w:b/>
                          <w:sz w:val="24"/>
                          <w:szCs w:val="24"/>
                        </w:rPr>
                        <w:t xml:space="preserve">Recommended Action </w:t>
                      </w:r>
                      <w:r>
                        <w:rPr>
                          <w:b/>
                          <w:sz w:val="24"/>
                          <w:szCs w:val="24"/>
                        </w:rPr>
                        <w:t>for Maintenance</w:t>
                      </w:r>
                      <w:r w:rsidRPr="00E2350F">
                        <w:rPr>
                          <w:b/>
                          <w:sz w:val="24"/>
                          <w:szCs w:val="24"/>
                        </w:rPr>
                        <w:t>:</w:t>
                      </w:r>
                    </w:p>
                    <w:p w14:paraId="751389F5" w14:textId="40CCCD0A" w:rsidR="00190108" w:rsidRPr="00E2350F" w:rsidRDefault="003366F3" w:rsidP="00E2350F">
                      <w:pPr>
                        <w:jc w:val="center"/>
                        <w:rPr>
                          <w:b/>
                        </w:rPr>
                      </w:pPr>
                      <w:r>
                        <w:rPr>
                          <w:b/>
                        </w:rPr>
                        <w:t>Two years out from the training, over half of the counties indicated work from their action plans was ongoing. Future training should cover ways to assist counties in taking on policy and system change strategies which are more compl</w:t>
                      </w:r>
                      <w:r w:rsidR="00445AD8">
                        <w:rPr>
                          <w:b/>
                        </w:rPr>
                        <w:t>icated</w:t>
                      </w:r>
                      <w:r>
                        <w:rPr>
                          <w:b/>
                        </w:rPr>
                        <w:t xml:space="preserve"> or take longer to accomplish. </w:t>
                      </w:r>
                    </w:p>
                  </w:txbxContent>
                </v:textbox>
              </v:shape>
            </w:pict>
          </mc:Fallback>
        </mc:AlternateContent>
      </w:r>
    </w:p>
    <w:p w14:paraId="75138976" w14:textId="77777777" w:rsidR="00E2350F" w:rsidRDefault="00E2350F" w:rsidP="001E07B7">
      <w:pPr>
        <w:rPr>
          <w:b/>
          <w:sz w:val="24"/>
          <w:szCs w:val="24"/>
        </w:rPr>
      </w:pPr>
    </w:p>
    <w:p w14:paraId="75138977" w14:textId="77777777" w:rsidR="00E2350F" w:rsidRDefault="00E2350F" w:rsidP="001E07B7">
      <w:pPr>
        <w:rPr>
          <w:b/>
          <w:sz w:val="24"/>
          <w:szCs w:val="24"/>
        </w:rPr>
      </w:pPr>
    </w:p>
    <w:p w14:paraId="75138978" w14:textId="77777777" w:rsidR="00361C0C" w:rsidRDefault="00361C0C" w:rsidP="008B6E7A">
      <w:pPr>
        <w:rPr>
          <w:b/>
          <w:sz w:val="24"/>
          <w:szCs w:val="24"/>
        </w:rPr>
      </w:pPr>
    </w:p>
    <w:p w14:paraId="75138979" w14:textId="77777777" w:rsidR="00E65E05" w:rsidRDefault="00E65E05" w:rsidP="00AB2567">
      <w:pPr>
        <w:jc w:val="center"/>
        <w:rPr>
          <w:b/>
          <w:sz w:val="24"/>
          <w:szCs w:val="24"/>
        </w:rPr>
      </w:pPr>
      <w:r>
        <w:rPr>
          <w:b/>
          <w:sz w:val="24"/>
          <w:szCs w:val="24"/>
        </w:rPr>
        <w:t>Summary</w:t>
      </w:r>
      <w:r w:rsidR="00C075D0">
        <w:rPr>
          <w:b/>
          <w:sz w:val="24"/>
          <w:szCs w:val="24"/>
        </w:rPr>
        <w:t xml:space="preserve"> </w:t>
      </w:r>
    </w:p>
    <w:p w14:paraId="7513897A" w14:textId="77777777" w:rsidR="00E65E05" w:rsidRDefault="00C075D0" w:rsidP="008B6E7A">
      <w:pPr>
        <w:rPr>
          <w:sz w:val="24"/>
          <w:szCs w:val="24"/>
        </w:rPr>
      </w:pPr>
      <w:r>
        <w:rPr>
          <w:sz w:val="24"/>
          <w:szCs w:val="24"/>
        </w:rPr>
        <w:tab/>
      </w:r>
      <w:r w:rsidR="00E65E05">
        <w:rPr>
          <w:sz w:val="24"/>
          <w:szCs w:val="24"/>
        </w:rPr>
        <w:t xml:space="preserve">There is significant evidence that </w:t>
      </w:r>
      <w:r w:rsidR="00061CC6">
        <w:rPr>
          <w:sz w:val="24"/>
          <w:szCs w:val="24"/>
        </w:rPr>
        <w:t xml:space="preserve">the </w:t>
      </w:r>
      <w:r w:rsidR="00B042A7">
        <w:rPr>
          <w:sz w:val="24"/>
          <w:szCs w:val="24"/>
        </w:rPr>
        <w:t>Hea</w:t>
      </w:r>
      <w:r w:rsidR="00061CC6">
        <w:rPr>
          <w:sz w:val="24"/>
          <w:szCs w:val="24"/>
        </w:rPr>
        <w:t>l</w:t>
      </w:r>
      <w:r w:rsidR="00B042A7">
        <w:rPr>
          <w:sz w:val="24"/>
          <w:szCs w:val="24"/>
        </w:rPr>
        <w:t xml:space="preserve">thy Communities Capacity Building </w:t>
      </w:r>
      <w:r w:rsidR="00E65E05">
        <w:rPr>
          <w:sz w:val="24"/>
          <w:szCs w:val="24"/>
        </w:rPr>
        <w:t>Initiative set in</w:t>
      </w:r>
      <w:r w:rsidR="00361C0C">
        <w:rPr>
          <w:sz w:val="24"/>
          <w:szCs w:val="24"/>
        </w:rPr>
        <w:t>to</w:t>
      </w:r>
      <w:r w:rsidR="00E65E05">
        <w:rPr>
          <w:sz w:val="24"/>
          <w:szCs w:val="24"/>
        </w:rPr>
        <w:t xml:space="preserve"> motion a number of strategies to bring about community-level changes to improve healthy eating and increase physical activity.  Nearly all </w:t>
      </w:r>
      <w:r w:rsidR="00061CC6">
        <w:rPr>
          <w:sz w:val="24"/>
          <w:szCs w:val="24"/>
        </w:rPr>
        <w:t xml:space="preserve">participating </w:t>
      </w:r>
      <w:r w:rsidR="00DA3743">
        <w:rPr>
          <w:sz w:val="24"/>
          <w:szCs w:val="24"/>
        </w:rPr>
        <w:t>counties</w:t>
      </w:r>
      <w:r w:rsidR="00E65E05">
        <w:rPr>
          <w:sz w:val="24"/>
          <w:szCs w:val="24"/>
        </w:rPr>
        <w:t xml:space="preserve"> included either coalition building or </w:t>
      </w:r>
      <w:r w:rsidR="004C366A">
        <w:rPr>
          <w:sz w:val="24"/>
          <w:szCs w:val="24"/>
        </w:rPr>
        <w:t xml:space="preserve">at least one </w:t>
      </w:r>
      <w:r w:rsidR="00E65E05">
        <w:rPr>
          <w:sz w:val="24"/>
          <w:szCs w:val="24"/>
        </w:rPr>
        <w:t>PSE strateg</w:t>
      </w:r>
      <w:r w:rsidR="004C366A">
        <w:rPr>
          <w:sz w:val="24"/>
          <w:szCs w:val="24"/>
        </w:rPr>
        <w:t>y</w:t>
      </w:r>
      <w:r w:rsidR="00E65E05">
        <w:rPr>
          <w:sz w:val="24"/>
          <w:szCs w:val="24"/>
        </w:rPr>
        <w:t xml:space="preserve"> in their action plans</w:t>
      </w:r>
      <w:r w:rsidR="000E716C">
        <w:rPr>
          <w:sz w:val="24"/>
          <w:szCs w:val="24"/>
        </w:rPr>
        <w:t>; foci</w:t>
      </w:r>
      <w:r w:rsidR="004C366A">
        <w:rPr>
          <w:sz w:val="24"/>
          <w:szCs w:val="24"/>
        </w:rPr>
        <w:t xml:space="preserve"> of the </w:t>
      </w:r>
      <w:r w:rsidR="000E716C">
        <w:rPr>
          <w:sz w:val="24"/>
          <w:szCs w:val="24"/>
        </w:rPr>
        <w:t>HCCB introductory course</w:t>
      </w:r>
      <w:r w:rsidR="004C366A">
        <w:rPr>
          <w:sz w:val="24"/>
          <w:szCs w:val="24"/>
        </w:rPr>
        <w:t xml:space="preserve"> and Action Institute</w:t>
      </w:r>
      <w:r w:rsidR="00E65E05">
        <w:rPr>
          <w:sz w:val="24"/>
          <w:szCs w:val="24"/>
        </w:rPr>
        <w:t xml:space="preserve">.  </w:t>
      </w:r>
      <w:r w:rsidR="007C579A">
        <w:rPr>
          <w:sz w:val="24"/>
          <w:szCs w:val="24"/>
        </w:rPr>
        <w:t>Nearly two ye</w:t>
      </w:r>
      <w:r w:rsidR="004C366A">
        <w:rPr>
          <w:sz w:val="24"/>
          <w:szCs w:val="24"/>
        </w:rPr>
        <w:t xml:space="preserve">ars after the Initiative began, </w:t>
      </w:r>
      <w:r w:rsidR="003366F3">
        <w:rPr>
          <w:sz w:val="24"/>
          <w:szCs w:val="24"/>
        </w:rPr>
        <w:t xml:space="preserve"> </w:t>
      </w:r>
      <w:r w:rsidR="0056176E">
        <w:rPr>
          <w:sz w:val="24"/>
          <w:szCs w:val="24"/>
        </w:rPr>
        <w:t>29%</w:t>
      </w:r>
      <w:r w:rsidR="003366F3">
        <w:rPr>
          <w:sz w:val="24"/>
          <w:szCs w:val="24"/>
        </w:rPr>
        <w:t xml:space="preserve"> of counties </w:t>
      </w:r>
      <w:r w:rsidR="0056176E">
        <w:rPr>
          <w:sz w:val="24"/>
          <w:szCs w:val="24"/>
        </w:rPr>
        <w:t xml:space="preserve"> </w:t>
      </w:r>
      <w:r w:rsidR="004C366A">
        <w:rPr>
          <w:sz w:val="24"/>
          <w:szCs w:val="24"/>
        </w:rPr>
        <w:t xml:space="preserve">reported completing </w:t>
      </w:r>
      <w:r w:rsidR="0056176E">
        <w:rPr>
          <w:sz w:val="24"/>
          <w:szCs w:val="24"/>
        </w:rPr>
        <w:t>the work on the</w:t>
      </w:r>
      <w:r w:rsidR="004C366A">
        <w:rPr>
          <w:sz w:val="24"/>
          <w:szCs w:val="24"/>
        </w:rPr>
        <w:t xml:space="preserve"> action plan strategy</w:t>
      </w:r>
      <w:r w:rsidR="0056176E">
        <w:rPr>
          <w:sz w:val="24"/>
          <w:szCs w:val="24"/>
        </w:rPr>
        <w:t xml:space="preserve"> under discussion</w:t>
      </w:r>
      <w:r w:rsidR="005960F6">
        <w:rPr>
          <w:sz w:val="24"/>
          <w:szCs w:val="24"/>
        </w:rPr>
        <w:t xml:space="preserve">; nearly half of </w:t>
      </w:r>
      <w:r w:rsidR="0056176E">
        <w:rPr>
          <w:sz w:val="24"/>
          <w:szCs w:val="24"/>
        </w:rPr>
        <w:t>counties</w:t>
      </w:r>
      <w:r w:rsidR="005960F6">
        <w:rPr>
          <w:sz w:val="24"/>
          <w:szCs w:val="24"/>
        </w:rPr>
        <w:t xml:space="preserve"> (49%),</w:t>
      </w:r>
      <w:r w:rsidR="00361C0C">
        <w:rPr>
          <w:sz w:val="24"/>
          <w:szCs w:val="24"/>
        </w:rPr>
        <w:t xml:space="preserve"> </w:t>
      </w:r>
      <w:r w:rsidR="0056176E">
        <w:rPr>
          <w:sz w:val="24"/>
          <w:szCs w:val="24"/>
        </w:rPr>
        <w:t>work identified in their a</w:t>
      </w:r>
      <w:r w:rsidR="00361C0C">
        <w:rPr>
          <w:sz w:val="24"/>
          <w:szCs w:val="24"/>
        </w:rPr>
        <w:t xml:space="preserve">ction plans </w:t>
      </w:r>
      <w:r w:rsidR="0056176E">
        <w:rPr>
          <w:sz w:val="24"/>
          <w:szCs w:val="24"/>
        </w:rPr>
        <w:t xml:space="preserve">was </w:t>
      </w:r>
      <w:r w:rsidR="000E716C">
        <w:rPr>
          <w:sz w:val="24"/>
          <w:szCs w:val="24"/>
        </w:rPr>
        <w:t xml:space="preserve">still </w:t>
      </w:r>
      <w:r w:rsidR="0056176E">
        <w:rPr>
          <w:sz w:val="24"/>
          <w:szCs w:val="24"/>
        </w:rPr>
        <w:t>ongoing and</w:t>
      </w:r>
      <w:r w:rsidR="000E716C">
        <w:rPr>
          <w:sz w:val="24"/>
          <w:szCs w:val="24"/>
        </w:rPr>
        <w:t xml:space="preserve"> </w:t>
      </w:r>
      <w:r w:rsidR="0056176E">
        <w:rPr>
          <w:sz w:val="24"/>
          <w:szCs w:val="24"/>
        </w:rPr>
        <w:t xml:space="preserve">12% reported </w:t>
      </w:r>
      <w:r w:rsidR="00826B8F">
        <w:rPr>
          <w:sz w:val="24"/>
          <w:szCs w:val="24"/>
        </w:rPr>
        <w:t xml:space="preserve">that strategies led to </w:t>
      </w:r>
      <w:r w:rsidR="0056176E">
        <w:rPr>
          <w:sz w:val="24"/>
          <w:szCs w:val="24"/>
        </w:rPr>
        <w:t xml:space="preserve">additional work beyond the initial action plan </w:t>
      </w:r>
      <w:r w:rsidR="00361C0C">
        <w:rPr>
          <w:sz w:val="24"/>
          <w:szCs w:val="24"/>
        </w:rPr>
        <w:t>to promote healthy eating and physical activity in their communities.</w:t>
      </w:r>
    </w:p>
    <w:p w14:paraId="7513897B" w14:textId="77777777" w:rsidR="00C075D0" w:rsidRPr="00E65E05" w:rsidRDefault="00C075D0" w:rsidP="008B6E7A">
      <w:pPr>
        <w:rPr>
          <w:sz w:val="24"/>
          <w:szCs w:val="24"/>
        </w:rPr>
      </w:pPr>
      <w:r>
        <w:rPr>
          <w:sz w:val="24"/>
          <w:szCs w:val="24"/>
        </w:rPr>
        <w:tab/>
      </w:r>
    </w:p>
    <w:p w14:paraId="7513897C" w14:textId="77777777" w:rsidR="008B6E7A" w:rsidRPr="00E2350F" w:rsidRDefault="008B6E7A" w:rsidP="008B6E7A">
      <w:pPr>
        <w:rPr>
          <w:b/>
          <w:sz w:val="24"/>
          <w:szCs w:val="24"/>
        </w:rPr>
      </w:pPr>
      <w:r>
        <w:rPr>
          <w:b/>
          <w:sz w:val="24"/>
          <w:szCs w:val="24"/>
        </w:rPr>
        <w:t>References</w:t>
      </w:r>
    </w:p>
    <w:p w14:paraId="7513897D" w14:textId="77777777" w:rsidR="008B6E7A" w:rsidRPr="00B042A7" w:rsidRDefault="008B6E7A" w:rsidP="008B6E7A">
      <w:pPr>
        <w:pStyle w:val="Footer"/>
        <w:rPr>
          <w:sz w:val="24"/>
          <w:szCs w:val="24"/>
        </w:rPr>
      </w:pPr>
      <w:r w:rsidRPr="00B042A7">
        <w:rPr>
          <w:sz w:val="24"/>
          <w:szCs w:val="24"/>
          <w:vertAlign w:val="superscript"/>
        </w:rPr>
        <w:t>1</w:t>
      </w:r>
      <w:r w:rsidRPr="00B042A7">
        <w:rPr>
          <w:sz w:val="24"/>
          <w:szCs w:val="24"/>
        </w:rPr>
        <w:t xml:space="preserve">Frieden TR. (2010). A framework for public health action: the health impact pyramid. </w:t>
      </w:r>
      <w:r w:rsidRPr="00B042A7">
        <w:rPr>
          <w:i/>
          <w:sz w:val="24"/>
          <w:szCs w:val="24"/>
        </w:rPr>
        <w:t>Am J Public Health</w:t>
      </w:r>
      <w:r w:rsidRPr="00B042A7">
        <w:rPr>
          <w:sz w:val="24"/>
          <w:szCs w:val="24"/>
        </w:rPr>
        <w:t>, Apr;100(4):590-5.</w:t>
      </w:r>
    </w:p>
    <w:p w14:paraId="7513897E" w14:textId="77777777" w:rsidR="008B6E7A" w:rsidRPr="00B042A7" w:rsidRDefault="008B6E7A" w:rsidP="008B6E7A">
      <w:pPr>
        <w:pStyle w:val="Footer"/>
        <w:rPr>
          <w:sz w:val="24"/>
          <w:szCs w:val="24"/>
        </w:rPr>
      </w:pPr>
      <w:r w:rsidRPr="00B042A7">
        <w:rPr>
          <w:sz w:val="24"/>
          <w:szCs w:val="24"/>
          <w:vertAlign w:val="superscript"/>
        </w:rPr>
        <w:t>2</w:t>
      </w:r>
      <w:r w:rsidRPr="00B042A7">
        <w:rPr>
          <w:sz w:val="24"/>
          <w:szCs w:val="24"/>
        </w:rPr>
        <w:t xml:space="preserve">Glasgow RE, Vogt TM and Boles SM. (1999).  Evaluating the public health impact of health promotion interventions: the RE-AIM framework. </w:t>
      </w:r>
      <w:r w:rsidRPr="00B042A7">
        <w:rPr>
          <w:i/>
          <w:sz w:val="24"/>
          <w:szCs w:val="24"/>
        </w:rPr>
        <w:t>Am J Public Health</w:t>
      </w:r>
      <w:r w:rsidRPr="00B042A7">
        <w:rPr>
          <w:sz w:val="24"/>
          <w:szCs w:val="24"/>
        </w:rPr>
        <w:t>, 89(9): 1322-27.</w:t>
      </w:r>
    </w:p>
    <w:p w14:paraId="7513897F" w14:textId="77777777" w:rsidR="00A57D43" w:rsidRPr="00B042A7" w:rsidRDefault="008B6E7A" w:rsidP="00A57D43">
      <w:pPr>
        <w:pStyle w:val="NoSpacing"/>
        <w:rPr>
          <w:sz w:val="24"/>
          <w:szCs w:val="24"/>
        </w:rPr>
      </w:pPr>
      <w:r w:rsidRPr="00B042A7">
        <w:rPr>
          <w:sz w:val="24"/>
          <w:szCs w:val="24"/>
          <w:vertAlign w:val="superscript"/>
        </w:rPr>
        <w:t>3</w:t>
      </w:r>
      <w:r w:rsidR="00D90353" w:rsidRPr="00B042A7">
        <w:rPr>
          <w:sz w:val="24"/>
          <w:szCs w:val="24"/>
        </w:rPr>
        <w:t>Bandura, A. (2006). Chapter 14. guide for constructing self efficacy scales. In A. Pagares &amp; A. Pagares (Eds.),</w:t>
      </w:r>
    </w:p>
    <w:p w14:paraId="75138980" w14:textId="77777777" w:rsidR="008B6E7A" w:rsidRPr="00B042A7" w:rsidRDefault="00D90353" w:rsidP="00A57D43">
      <w:pPr>
        <w:pStyle w:val="NoSpacing"/>
        <w:rPr>
          <w:sz w:val="24"/>
          <w:szCs w:val="24"/>
        </w:rPr>
      </w:pPr>
      <w:r w:rsidRPr="00B042A7">
        <w:rPr>
          <w:sz w:val="24"/>
          <w:szCs w:val="24"/>
        </w:rPr>
        <w:t xml:space="preserve"> </w:t>
      </w:r>
      <w:r w:rsidR="005960F6" w:rsidRPr="00B042A7">
        <w:rPr>
          <w:sz w:val="24"/>
          <w:szCs w:val="24"/>
          <w:vertAlign w:val="superscript"/>
        </w:rPr>
        <w:t>4</w:t>
      </w:r>
      <w:r w:rsidR="00A57D43" w:rsidRPr="00B042A7">
        <w:rPr>
          <w:sz w:val="24"/>
          <w:szCs w:val="24"/>
        </w:rPr>
        <w:t xml:space="preserve">Cohen L, Swift S. The spectrum of prevention: developing a comprehensive approach to injury prevention. </w:t>
      </w:r>
      <w:r w:rsidR="00A57D43" w:rsidRPr="00B042A7">
        <w:rPr>
          <w:i/>
          <w:iCs/>
          <w:sz w:val="24"/>
          <w:szCs w:val="24"/>
        </w:rPr>
        <w:t>Injury Prevention</w:t>
      </w:r>
      <w:r w:rsidR="00A57D43" w:rsidRPr="00B042A7">
        <w:rPr>
          <w:sz w:val="24"/>
          <w:szCs w:val="24"/>
        </w:rPr>
        <w:t>. 1999;5:203-207.</w:t>
      </w:r>
    </w:p>
    <w:p w14:paraId="75138981" w14:textId="77777777" w:rsidR="00E2350F" w:rsidRDefault="00412E89" w:rsidP="00A57D43">
      <w:pPr>
        <w:pStyle w:val="NoSpacing"/>
        <w:rPr>
          <w:b/>
        </w:rPr>
      </w:pPr>
      <w:r w:rsidRPr="00B042A7">
        <w:rPr>
          <w:b/>
          <w:sz w:val="24"/>
          <w:szCs w:val="24"/>
        </w:rPr>
        <w:br w:type="page"/>
      </w:r>
      <w:r w:rsidR="002B3B81">
        <w:rPr>
          <w:b/>
        </w:rPr>
        <w:lastRenderedPageBreak/>
        <w:t xml:space="preserve">Table 1 Reported self-confidence </w:t>
      </w:r>
      <w:r w:rsidR="00E71275">
        <w:rPr>
          <w:b/>
        </w:rPr>
        <w:t>of training participants</w:t>
      </w:r>
      <w:r w:rsidR="002B3B81">
        <w:rPr>
          <w:b/>
        </w:rPr>
        <w:t xml:space="preserve"> to </w:t>
      </w:r>
      <w:r>
        <w:rPr>
          <w:b/>
        </w:rPr>
        <w:t>i</w:t>
      </w:r>
      <w:r w:rsidR="002B3B81">
        <w:rPr>
          <w:b/>
        </w:rPr>
        <w:t xml:space="preserve">mplement skills to promote healthy communities </w:t>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260"/>
        <w:gridCol w:w="1350"/>
        <w:gridCol w:w="1152"/>
      </w:tblGrid>
      <w:tr w:rsidR="00412E89" w:rsidRPr="00412E89" w14:paraId="75138986" w14:textId="77777777" w:rsidTr="001A7AAB">
        <w:tc>
          <w:tcPr>
            <w:tcW w:w="6480" w:type="dxa"/>
            <w:vAlign w:val="center"/>
          </w:tcPr>
          <w:p w14:paraId="75138982" w14:textId="77777777" w:rsidR="00412E89" w:rsidRPr="00412E89" w:rsidRDefault="00412E89" w:rsidP="00412E89">
            <w:pPr>
              <w:spacing w:before="120" w:after="120" w:line="240" w:lineRule="auto"/>
              <w:rPr>
                <w:b/>
                <w:sz w:val="24"/>
                <w:szCs w:val="24"/>
              </w:rPr>
            </w:pPr>
            <w:r w:rsidRPr="00412E89">
              <w:rPr>
                <w:b/>
                <w:sz w:val="24"/>
                <w:szCs w:val="24"/>
              </w:rPr>
              <w:t>How confident are you that you can…</w:t>
            </w:r>
          </w:p>
        </w:tc>
        <w:tc>
          <w:tcPr>
            <w:tcW w:w="1260" w:type="dxa"/>
            <w:vAlign w:val="center"/>
          </w:tcPr>
          <w:p w14:paraId="75138983" w14:textId="77777777" w:rsidR="00412E89" w:rsidRPr="00412E89" w:rsidRDefault="00412E89" w:rsidP="00412E89">
            <w:pPr>
              <w:spacing w:before="120" w:after="120" w:line="240" w:lineRule="auto"/>
              <w:jc w:val="center"/>
              <w:rPr>
                <w:b/>
                <w:sz w:val="24"/>
                <w:szCs w:val="24"/>
              </w:rPr>
            </w:pPr>
            <w:r w:rsidRPr="00412E89">
              <w:rPr>
                <w:b/>
                <w:sz w:val="24"/>
                <w:szCs w:val="24"/>
              </w:rPr>
              <w:t>Before Initiative</w:t>
            </w:r>
          </w:p>
        </w:tc>
        <w:tc>
          <w:tcPr>
            <w:tcW w:w="1350" w:type="dxa"/>
            <w:vAlign w:val="center"/>
          </w:tcPr>
          <w:p w14:paraId="75138984" w14:textId="77777777" w:rsidR="00412E89" w:rsidRPr="00412E89" w:rsidRDefault="00412E89" w:rsidP="00412E89">
            <w:pPr>
              <w:spacing w:before="120" w:after="120" w:line="240" w:lineRule="auto"/>
              <w:jc w:val="center"/>
              <w:rPr>
                <w:b/>
                <w:sz w:val="24"/>
                <w:szCs w:val="24"/>
              </w:rPr>
            </w:pPr>
            <w:r w:rsidRPr="00412E89">
              <w:rPr>
                <w:b/>
                <w:sz w:val="24"/>
                <w:szCs w:val="24"/>
              </w:rPr>
              <w:t>After Action Institute</w:t>
            </w:r>
          </w:p>
        </w:tc>
        <w:tc>
          <w:tcPr>
            <w:tcW w:w="1152" w:type="dxa"/>
            <w:vAlign w:val="center"/>
          </w:tcPr>
          <w:p w14:paraId="75138985" w14:textId="77777777" w:rsidR="00412E89" w:rsidRPr="00412E89" w:rsidRDefault="00412E89" w:rsidP="00412E89">
            <w:pPr>
              <w:spacing w:before="120" w:after="120" w:line="240" w:lineRule="auto"/>
              <w:jc w:val="center"/>
              <w:rPr>
                <w:b/>
                <w:sz w:val="24"/>
                <w:szCs w:val="24"/>
              </w:rPr>
            </w:pPr>
            <w:r w:rsidRPr="00412E89">
              <w:rPr>
                <w:b/>
                <w:sz w:val="24"/>
                <w:szCs w:val="24"/>
              </w:rPr>
              <w:t>Three-month Followup</w:t>
            </w:r>
          </w:p>
        </w:tc>
      </w:tr>
      <w:tr w:rsidR="00412E89" w:rsidRPr="00412E89" w14:paraId="7513898B" w14:textId="77777777" w:rsidTr="001A7AAB">
        <w:tc>
          <w:tcPr>
            <w:tcW w:w="6480" w:type="dxa"/>
            <w:vAlign w:val="center"/>
          </w:tcPr>
          <w:p w14:paraId="75138987" w14:textId="77777777" w:rsidR="00412E89" w:rsidRPr="00412E89" w:rsidRDefault="00412E89" w:rsidP="00412E89">
            <w:pPr>
              <w:spacing w:before="120" w:after="120" w:line="240" w:lineRule="auto"/>
              <w:rPr>
                <w:sz w:val="24"/>
                <w:szCs w:val="24"/>
              </w:rPr>
            </w:pPr>
            <w:r w:rsidRPr="00412E89">
              <w:rPr>
                <w:sz w:val="24"/>
                <w:szCs w:val="24"/>
              </w:rPr>
              <w:t>Devise a set of preliminary objectives and activities</w:t>
            </w:r>
          </w:p>
        </w:tc>
        <w:tc>
          <w:tcPr>
            <w:tcW w:w="1260" w:type="dxa"/>
            <w:vAlign w:val="center"/>
          </w:tcPr>
          <w:p w14:paraId="75138988" w14:textId="77777777" w:rsidR="00412E89" w:rsidRPr="001A7AAB" w:rsidRDefault="001A7AAB" w:rsidP="001A7AAB">
            <w:pPr>
              <w:spacing w:before="120" w:after="120" w:line="240" w:lineRule="auto"/>
              <w:ind w:right="216"/>
              <w:jc w:val="right"/>
              <w:rPr>
                <w:sz w:val="24"/>
                <w:szCs w:val="24"/>
              </w:rPr>
            </w:pPr>
            <w:r>
              <w:rPr>
                <w:sz w:val="24"/>
                <w:szCs w:val="24"/>
              </w:rPr>
              <w:t>66</w:t>
            </w:r>
          </w:p>
        </w:tc>
        <w:tc>
          <w:tcPr>
            <w:tcW w:w="1350" w:type="dxa"/>
            <w:vAlign w:val="center"/>
          </w:tcPr>
          <w:p w14:paraId="75138989" w14:textId="77777777" w:rsidR="00412E89" w:rsidRPr="001A7AAB" w:rsidRDefault="001A7AAB" w:rsidP="001A7AAB">
            <w:pPr>
              <w:spacing w:before="120" w:after="120" w:line="240" w:lineRule="auto"/>
              <w:ind w:right="216"/>
              <w:jc w:val="right"/>
              <w:rPr>
                <w:sz w:val="24"/>
                <w:szCs w:val="24"/>
              </w:rPr>
            </w:pPr>
            <w:r>
              <w:rPr>
                <w:sz w:val="24"/>
                <w:szCs w:val="24"/>
              </w:rPr>
              <w:t>71</w:t>
            </w:r>
          </w:p>
        </w:tc>
        <w:tc>
          <w:tcPr>
            <w:tcW w:w="1152" w:type="dxa"/>
            <w:vAlign w:val="center"/>
          </w:tcPr>
          <w:p w14:paraId="7513898A" w14:textId="77777777" w:rsidR="00412E89" w:rsidRPr="001A7AAB" w:rsidRDefault="001A7AAB" w:rsidP="001A7AAB">
            <w:pPr>
              <w:spacing w:before="120" w:after="120" w:line="240" w:lineRule="auto"/>
              <w:ind w:right="216"/>
              <w:jc w:val="right"/>
              <w:rPr>
                <w:sz w:val="24"/>
                <w:szCs w:val="24"/>
              </w:rPr>
            </w:pPr>
            <w:r>
              <w:rPr>
                <w:sz w:val="24"/>
                <w:szCs w:val="24"/>
              </w:rPr>
              <w:t>82</w:t>
            </w:r>
          </w:p>
        </w:tc>
      </w:tr>
      <w:tr w:rsidR="00412E89" w:rsidRPr="00412E89" w14:paraId="75138990" w14:textId="77777777" w:rsidTr="001A7AAB">
        <w:tc>
          <w:tcPr>
            <w:tcW w:w="6480" w:type="dxa"/>
            <w:vAlign w:val="center"/>
          </w:tcPr>
          <w:p w14:paraId="7513898C" w14:textId="77777777" w:rsidR="00412E89" w:rsidRPr="00412E89" w:rsidRDefault="00412E89" w:rsidP="00412E89">
            <w:pPr>
              <w:spacing w:before="120" w:after="120" w:line="240" w:lineRule="auto"/>
              <w:rPr>
                <w:sz w:val="24"/>
                <w:szCs w:val="24"/>
              </w:rPr>
            </w:pPr>
            <w:r w:rsidRPr="00412E89">
              <w:rPr>
                <w:sz w:val="24"/>
                <w:szCs w:val="24"/>
              </w:rPr>
              <w:t>Convene a coalition</w:t>
            </w:r>
          </w:p>
        </w:tc>
        <w:tc>
          <w:tcPr>
            <w:tcW w:w="1260" w:type="dxa"/>
            <w:vAlign w:val="center"/>
          </w:tcPr>
          <w:p w14:paraId="7513898D" w14:textId="77777777" w:rsidR="00412E89" w:rsidRPr="001A7AAB" w:rsidRDefault="001A7AAB" w:rsidP="001A7AAB">
            <w:pPr>
              <w:spacing w:before="120" w:after="120" w:line="240" w:lineRule="auto"/>
              <w:ind w:right="216"/>
              <w:jc w:val="right"/>
              <w:rPr>
                <w:sz w:val="24"/>
                <w:szCs w:val="24"/>
              </w:rPr>
            </w:pPr>
            <w:r>
              <w:rPr>
                <w:sz w:val="24"/>
                <w:szCs w:val="24"/>
              </w:rPr>
              <w:t>64</w:t>
            </w:r>
          </w:p>
        </w:tc>
        <w:tc>
          <w:tcPr>
            <w:tcW w:w="1350" w:type="dxa"/>
            <w:vAlign w:val="center"/>
          </w:tcPr>
          <w:p w14:paraId="7513898E" w14:textId="77777777" w:rsidR="00412E89" w:rsidRPr="001A7AAB" w:rsidRDefault="001A7AAB" w:rsidP="001A7AAB">
            <w:pPr>
              <w:spacing w:before="120" w:after="120" w:line="240" w:lineRule="auto"/>
              <w:ind w:right="216"/>
              <w:jc w:val="right"/>
              <w:rPr>
                <w:sz w:val="24"/>
                <w:szCs w:val="24"/>
              </w:rPr>
            </w:pPr>
            <w:r>
              <w:rPr>
                <w:sz w:val="24"/>
                <w:szCs w:val="24"/>
              </w:rPr>
              <w:t>70</w:t>
            </w:r>
          </w:p>
        </w:tc>
        <w:tc>
          <w:tcPr>
            <w:tcW w:w="1152" w:type="dxa"/>
            <w:vAlign w:val="center"/>
          </w:tcPr>
          <w:p w14:paraId="7513898F" w14:textId="77777777" w:rsidR="00412E89" w:rsidRPr="001A7AAB" w:rsidRDefault="001A7AAB" w:rsidP="001A7AAB">
            <w:pPr>
              <w:spacing w:before="120" w:after="120" w:line="240" w:lineRule="auto"/>
              <w:ind w:right="216"/>
              <w:jc w:val="right"/>
              <w:rPr>
                <w:sz w:val="24"/>
                <w:szCs w:val="24"/>
              </w:rPr>
            </w:pPr>
            <w:r>
              <w:rPr>
                <w:sz w:val="24"/>
                <w:szCs w:val="24"/>
              </w:rPr>
              <w:t>81</w:t>
            </w:r>
          </w:p>
        </w:tc>
      </w:tr>
      <w:tr w:rsidR="00412E89" w:rsidRPr="00412E89" w14:paraId="75138995" w14:textId="77777777" w:rsidTr="001A7AAB">
        <w:tc>
          <w:tcPr>
            <w:tcW w:w="6480" w:type="dxa"/>
            <w:vAlign w:val="center"/>
          </w:tcPr>
          <w:p w14:paraId="75138991" w14:textId="77777777" w:rsidR="00412E89" w:rsidRPr="00412E89" w:rsidRDefault="00412E89" w:rsidP="00412E89">
            <w:pPr>
              <w:spacing w:before="120" w:after="120" w:line="240" w:lineRule="auto"/>
              <w:rPr>
                <w:sz w:val="24"/>
                <w:szCs w:val="24"/>
              </w:rPr>
            </w:pPr>
            <w:r w:rsidRPr="00412E89">
              <w:rPr>
                <w:sz w:val="24"/>
                <w:szCs w:val="24"/>
              </w:rPr>
              <w:t>Identify the necessary resources to carry out your action plan</w:t>
            </w:r>
          </w:p>
        </w:tc>
        <w:tc>
          <w:tcPr>
            <w:tcW w:w="1260" w:type="dxa"/>
            <w:vAlign w:val="center"/>
          </w:tcPr>
          <w:p w14:paraId="75138992" w14:textId="77777777" w:rsidR="00412E89" w:rsidRPr="001A7AAB" w:rsidRDefault="001A7AAB" w:rsidP="001A7AAB">
            <w:pPr>
              <w:spacing w:before="120" w:after="120" w:line="240" w:lineRule="auto"/>
              <w:ind w:right="216"/>
              <w:jc w:val="right"/>
              <w:rPr>
                <w:sz w:val="24"/>
                <w:szCs w:val="24"/>
              </w:rPr>
            </w:pPr>
            <w:r>
              <w:rPr>
                <w:sz w:val="24"/>
                <w:szCs w:val="24"/>
              </w:rPr>
              <w:t>50</w:t>
            </w:r>
          </w:p>
        </w:tc>
        <w:tc>
          <w:tcPr>
            <w:tcW w:w="1350" w:type="dxa"/>
            <w:vAlign w:val="center"/>
          </w:tcPr>
          <w:p w14:paraId="75138993" w14:textId="77777777" w:rsidR="00412E89" w:rsidRPr="001A7AAB" w:rsidRDefault="001A7AAB" w:rsidP="001A7AAB">
            <w:pPr>
              <w:spacing w:before="120" w:after="120" w:line="240" w:lineRule="auto"/>
              <w:ind w:right="216"/>
              <w:jc w:val="right"/>
              <w:rPr>
                <w:sz w:val="24"/>
                <w:szCs w:val="24"/>
              </w:rPr>
            </w:pPr>
            <w:r>
              <w:rPr>
                <w:sz w:val="24"/>
                <w:szCs w:val="24"/>
              </w:rPr>
              <w:t>59</w:t>
            </w:r>
          </w:p>
        </w:tc>
        <w:tc>
          <w:tcPr>
            <w:tcW w:w="1152" w:type="dxa"/>
            <w:vAlign w:val="center"/>
          </w:tcPr>
          <w:p w14:paraId="75138994" w14:textId="77777777" w:rsidR="00412E89" w:rsidRPr="001A7AAB" w:rsidRDefault="001A7AAB" w:rsidP="001A7AAB">
            <w:pPr>
              <w:spacing w:before="120" w:after="120" w:line="240" w:lineRule="auto"/>
              <w:ind w:right="216"/>
              <w:jc w:val="right"/>
              <w:rPr>
                <w:sz w:val="24"/>
                <w:szCs w:val="24"/>
              </w:rPr>
            </w:pPr>
            <w:r>
              <w:rPr>
                <w:sz w:val="24"/>
                <w:szCs w:val="24"/>
              </w:rPr>
              <w:t>80</w:t>
            </w:r>
          </w:p>
        </w:tc>
      </w:tr>
      <w:tr w:rsidR="00412E89" w:rsidRPr="00412E89" w14:paraId="7513899A" w14:textId="77777777" w:rsidTr="001A7AAB">
        <w:tc>
          <w:tcPr>
            <w:tcW w:w="6480" w:type="dxa"/>
            <w:vAlign w:val="center"/>
          </w:tcPr>
          <w:p w14:paraId="75138996" w14:textId="77777777" w:rsidR="00412E89" w:rsidRPr="00412E89" w:rsidRDefault="00412E89" w:rsidP="00412E89">
            <w:pPr>
              <w:spacing w:before="120" w:after="120" w:line="240" w:lineRule="auto"/>
              <w:rPr>
                <w:sz w:val="24"/>
                <w:szCs w:val="24"/>
              </w:rPr>
            </w:pPr>
            <w:r w:rsidRPr="00412E89">
              <w:rPr>
                <w:sz w:val="24"/>
                <w:szCs w:val="24"/>
              </w:rPr>
              <w:t>Identify the necessary technical support to carry out your action plan</w:t>
            </w:r>
          </w:p>
        </w:tc>
        <w:tc>
          <w:tcPr>
            <w:tcW w:w="1260" w:type="dxa"/>
            <w:vAlign w:val="center"/>
          </w:tcPr>
          <w:p w14:paraId="75138997" w14:textId="77777777" w:rsidR="00412E89" w:rsidRPr="001A7AAB" w:rsidRDefault="001A7AAB" w:rsidP="001A7AAB">
            <w:pPr>
              <w:spacing w:before="120" w:after="120" w:line="240" w:lineRule="auto"/>
              <w:ind w:right="216"/>
              <w:jc w:val="right"/>
              <w:rPr>
                <w:sz w:val="24"/>
                <w:szCs w:val="24"/>
              </w:rPr>
            </w:pPr>
            <w:r>
              <w:rPr>
                <w:sz w:val="24"/>
                <w:szCs w:val="24"/>
              </w:rPr>
              <w:t>56</w:t>
            </w:r>
          </w:p>
        </w:tc>
        <w:tc>
          <w:tcPr>
            <w:tcW w:w="1350" w:type="dxa"/>
            <w:vAlign w:val="center"/>
          </w:tcPr>
          <w:p w14:paraId="75138998" w14:textId="77777777" w:rsidR="00412E89" w:rsidRPr="001A7AAB" w:rsidRDefault="001A7AAB" w:rsidP="001A7AAB">
            <w:pPr>
              <w:spacing w:before="120" w:after="120" w:line="240" w:lineRule="auto"/>
              <w:ind w:right="216"/>
              <w:jc w:val="right"/>
              <w:rPr>
                <w:sz w:val="24"/>
                <w:szCs w:val="24"/>
              </w:rPr>
            </w:pPr>
            <w:r>
              <w:rPr>
                <w:sz w:val="24"/>
                <w:szCs w:val="24"/>
              </w:rPr>
              <w:t>63</w:t>
            </w:r>
          </w:p>
        </w:tc>
        <w:tc>
          <w:tcPr>
            <w:tcW w:w="1152" w:type="dxa"/>
            <w:vAlign w:val="center"/>
          </w:tcPr>
          <w:p w14:paraId="75138999" w14:textId="77777777" w:rsidR="00412E89" w:rsidRPr="001A7AAB" w:rsidRDefault="001A7AAB" w:rsidP="001A7AAB">
            <w:pPr>
              <w:spacing w:before="120" w:after="120" w:line="240" w:lineRule="auto"/>
              <w:ind w:right="216"/>
              <w:jc w:val="right"/>
              <w:rPr>
                <w:sz w:val="24"/>
                <w:szCs w:val="24"/>
              </w:rPr>
            </w:pPr>
            <w:r>
              <w:rPr>
                <w:sz w:val="24"/>
                <w:szCs w:val="24"/>
              </w:rPr>
              <w:t>79</w:t>
            </w:r>
          </w:p>
        </w:tc>
      </w:tr>
      <w:tr w:rsidR="00412E89" w:rsidRPr="00412E89" w14:paraId="7513899F" w14:textId="77777777" w:rsidTr="001A7AAB">
        <w:tc>
          <w:tcPr>
            <w:tcW w:w="6480" w:type="dxa"/>
            <w:vAlign w:val="center"/>
          </w:tcPr>
          <w:p w14:paraId="7513899B" w14:textId="77777777" w:rsidR="00412E89" w:rsidRPr="00412E89" w:rsidRDefault="00412E89" w:rsidP="00412E89">
            <w:pPr>
              <w:spacing w:before="120" w:after="120" w:line="240" w:lineRule="auto"/>
              <w:rPr>
                <w:sz w:val="24"/>
                <w:szCs w:val="24"/>
              </w:rPr>
            </w:pPr>
            <w:r w:rsidRPr="00412E89">
              <w:rPr>
                <w:sz w:val="24"/>
                <w:szCs w:val="24"/>
              </w:rPr>
              <w:t>Maintain coalition vitality</w:t>
            </w:r>
          </w:p>
        </w:tc>
        <w:tc>
          <w:tcPr>
            <w:tcW w:w="1260" w:type="dxa"/>
            <w:vAlign w:val="center"/>
          </w:tcPr>
          <w:p w14:paraId="7513899C" w14:textId="77777777" w:rsidR="00412E89" w:rsidRPr="001A7AAB" w:rsidRDefault="001A7AAB" w:rsidP="001A7AAB">
            <w:pPr>
              <w:spacing w:before="120" w:after="120" w:line="240" w:lineRule="auto"/>
              <w:ind w:right="216"/>
              <w:jc w:val="right"/>
              <w:rPr>
                <w:sz w:val="24"/>
                <w:szCs w:val="24"/>
              </w:rPr>
            </w:pPr>
            <w:r>
              <w:rPr>
                <w:sz w:val="24"/>
                <w:szCs w:val="24"/>
              </w:rPr>
              <w:t>57</w:t>
            </w:r>
          </w:p>
        </w:tc>
        <w:tc>
          <w:tcPr>
            <w:tcW w:w="1350" w:type="dxa"/>
            <w:vAlign w:val="center"/>
          </w:tcPr>
          <w:p w14:paraId="7513899D" w14:textId="77777777" w:rsidR="00412E89" w:rsidRPr="001A7AAB" w:rsidRDefault="001A7AAB" w:rsidP="001A7AAB">
            <w:pPr>
              <w:spacing w:before="120" w:after="120" w:line="240" w:lineRule="auto"/>
              <w:ind w:right="216"/>
              <w:jc w:val="right"/>
              <w:rPr>
                <w:sz w:val="24"/>
                <w:szCs w:val="24"/>
              </w:rPr>
            </w:pPr>
            <w:r>
              <w:rPr>
                <w:sz w:val="24"/>
                <w:szCs w:val="24"/>
              </w:rPr>
              <w:t>67</w:t>
            </w:r>
          </w:p>
        </w:tc>
        <w:tc>
          <w:tcPr>
            <w:tcW w:w="1152" w:type="dxa"/>
            <w:vAlign w:val="center"/>
          </w:tcPr>
          <w:p w14:paraId="7513899E" w14:textId="77777777" w:rsidR="00412E89" w:rsidRPr="001A7AAB" w:rsidRDefault="001A7AAB" w:rsidP="001A7AAB">
            <w:pPr>
              <w:spacing w:before="120" w:after="120" w:line="240" w:lineRule="auto"/>
              <w:ind w:right="216"/>
              <w:jc w:val="right"/>
              <w:rPr>
                <w:sz w:val="24"/>
                <w:szCs w:val="24"/>
              </w:rPr>
            </w:pPr>
            <w:r>
              <w:rPr>
                <w:sz w:val="24"/>
                <w:szCs w:val="24"/>
              </w:rPr>
              <w:t>78</w:t>
            </w:r>
          </w:p>
        </w:tc>
      </w:tr>
      <w:tr w:rsidR="00412E89" w:rsidRPr="00412E89" w14:paraId="751389A4" w14:textId="77777777" w:rsidTr="001A7AAB">
        <w:tc>
          <w:tcPr>
            <w:tcW w:w="6480" w:type="dxa"/>
            <w:vAlign w:val="center"/>
          </w:tcPr>
          <w:p w14:paraId="751389A0" w14:textId="77777777" w:rsidR="00412E89" w:rsidRPr="00412E89" w:rsidRDefault="00412E89" w:rsidP="00412E89">
            <w:pPr>
              <w:spacing w:before="120" w:after="120" w:line="240" w:lineRule="auto"/>
              <w:rPr>
                <w:sz w:val="24"/>
                <w:szCs w:val="24"/>
              </w:rPr>
            </w:pPr>
            <w:r w:rsidRPr="00412E89">
              <w:rPr>
                <w:sz w:val="24"/>
                <w:szCs w:val="24"/>
              </w:rPr>
              <w:t>Make improvements through evaluation</w:t>
            </w:r>
          </w:p>
        </w:tc>
        <w:tc>
          <w:tcPr>
            <w:tcW w:w="1260" w:type="dxa"/>
            <w:vAlign w:val="center"/>
          </w:tcPr>
          <w:p w14:paraId="751389A1" w14:textId="77777777" w:rsidR="00412E89" w:rsidRPr="001A7AAB" w:rsidRDefault="001A7AAB" w:rsidP="001A7AAB">
            <w:pPr>
              <w:spacing w:before="120" w:after="120" w:line="240" w:lineRule="auto"/>
              <w:ind w:right="216"/>
              <w:jc w:val="right"/>
              <w:rPr>
                <w:sz w:val="24"/>
                <w:szCs w:val="24"/>
              </w:rPr>
            </w:pPr>
            <w:r>
              <w:rPr>
                <w:sz w:val="24"/>
                <w:szCs w:val="24"/>
              </w:rPr>
              <w:t>64</w:t>
            </w:r>
          </w:p>
        </w:tc>
        <w:tc>
          <w:tcPr>
            <w:tcW w:w="1350" w:type="dxa"/>
            <w:vAlign w:val="center"/>
          </w:tcPr>
          <w:p w14:paraId="751389A2" w14:textId="77777777" w:rsidR="00412E89" w:rsidRPr="001A7AAB" w:rsidRDefault="001A7AAB" w:rsidP="001A7AAB">
            <w:pPr>
              <w:spacing w:before="120" w:after="120" w:line="240" w:lineRule="auto"/>
              <w:ind w:right="216"/>
              <w:jc w:val="right"/>
              <w:rPr>
                <w:sz w:val="24"/>
                <w:szCs w:val="24"/>
              </w:rPr>
            </w:pPr>
            <w:r>
              <w:rPr>
                <w:sz w:val="24"/>
                <w:szCs w:val="24"/>
              </w:rPr>
              <w:t>70</w:t>
            </w:r>
          </w:p>
        </w:tc>
        <w:tc>
          <w:tcPr>
            <w:tcW w:w="1152" w:type="dxa"/>
            <w:vAlign w:val="center"/>
          </w:tcPr>
          <w:p w14:paraId="751389A3" w14:textId="77777777" w:rsidR="00412E89" w:rsidRPr="001A7AAB" w:rsidRDefault="001A7AAB" w:rsidP="001A7AAB">
            <w:pPr>
              <w:spacing w:before="120" w:after="120" w:line="240" w:lineRule="auto"/>
              <w:ind w:right="216"/>
              <w:jc w:val="right"/>
              <w:rPr>
                <w:sz w:val="24"/>
                <w:szCs w:val="24"/>
              </w:rPr>
            </w:pPr>
            <w:r>
              <w:rPr>
                <w:sz w:val="24"/>
                <w:szCs w:val="24"/>
              </w:rPr>
              <w:t>80</w:t>
            </w:r>
          </w:p>
        </w:tc>
      </w:tr>
      <w:tr w:rsidR="00412E89" w:rsidRPr="00412E89" w14:paraId="751389A9" w14:textId="77777777" w:rsidTr="001A7AAB">
        <w:tc>
          <w:tcPr>
            <w:tcW w:w="6480" w:type="dxa"/>
            <w:vAlign w:val="center"/>
          </w:tcPr>
          <w:p w14:paraId="751389A5" w14:textId="77777777" w:rsidR="00412E89" w:rsidRPr="00412E89" w:rsidRDefault="00412E89" w:rsidP="001A7AAB">
            <w:pPr>
              <w:spacing w:before="120" w:after="120" w:line="240" w:lineRule="auto"/>
              <w:rPr>
                <w:sz w:val="24"/>
                <w:szCs w:val="24"/>
              </w:rPr>
            </w:pPr>
            <w:r w:rsidRPr="00412E89">
              <w:rPr>
                <w:sz w:val="24"/>
                <w:szCs w:val="24"/>
              </w:rPr>
              <w:t>A</w:t>
            </w:r>
            <w:r w:rsidR="001A7AAB">
              <w:rPr>
                <w:sz w:val="24"/>
                <w:szCs w:val="24"/>
              </w:rPr>
              <w:t>rticulate</w:t>
            </w:r>
            <w:r w:rsidRPr="00412E89">
              <w:rPr>
                <w:sz w:val="24"/>
                <w:szCs w:val="24"/>
              </w:rPr>
              <w:t xml:space="preserve"> the role environment plays in community health outcomes</w:t>
            </w:r>
          </w:p>
        </w:tc>
        <w:tc>
          <w:tcPr>
            <w:tcW w:w="1260" w:type="dxa"/>
            <w:vAlign w:val="center"/>
          </w:tcPr>
          <w:p w14:paraId="751389A6"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A7" w14:textId="77777777" w:rsidR="00412E89" w:rsidRPr="001A7AAB" w:rsidRDefault="001A7AAB" w:rsidP="001A7AAB">
            <w:pPr>
              <w:spacing w:before="120" w:after="120" w:line="240" w:lineRule="auto"/>
              <w:ind w:right="216"/>
              <w:jc w:val="right"/>
              <w:rPr>
                <w:sz w:val="24"/>
                <w:szCs w:val="24"/>
              </w:rPr>
            </w:pPr>
            <w:r>
              <w:rPr>
                <w:sz w:val="24"/>
                <w:szCs w:val="24"/>
              </w:rPr>
              <w:t>83</w:t>
            </w:r>
          </w:p>
        </w:tc>
        <w:tc>
          <w:tcPr>
            <w:tcW w:w="1152" w:type="dxa"/>
            <w:vAlign w:val="center"/>
          </w:tcPr>
          <w:p w14:paraId="751389A8"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AE" w14:textId="77777777" w:rsidTr="001A7AAB">
        <w:tc>
          <w:tcPr>
            <w:tcW w:w="6480" w:type="dxa"/>
            <w:vAlign w:val="center"/>
          </w:tcPr>
          <w:p w14:paraId="751389AA" w14:textId="77777777" w:rsidR="00412E89" w:rsidRPr="00412E89" w:rsidRDefault="00412E89" w:rsidP="005960F6">
            <w:pPr>
              <w:spacing w:before="120" w:after="120" w:line="240" w:lineRule="auto"/>
              <w:rPr>
                <w:sz w:val="24"/>
                <w:szCs w:val="24"/>
              </w:rPr>
            </w:pPr>
            <w:r w:rsidRPr="00412E89">
              <w:rPr>
                <w:sz w:val="24"/>
                <w:szCs w:val="24"/>
              </w:rPr>
              <w:t>Apply the Spectrum of Prevention</w:t>
            </w:r>
            <w:r w:rsidR="005960F6">
              <w:rPr>
                <w:sz w:val="24"/>
                <w:szCs w:val="24"/>
                <w:vertAlign w:val="superscript"/>
              </w:rPr>
              <w:t xml:space="preserve">4 </w:t>
            </w:r>
            <w:r w:rsidRPr="00412E89">
              <w:rPr>
                <w:sz w:val="24"/>
                <w:szCs w:val="24"/>
              </w:rPr>
              <w:t>objectives and activities</w:t>
            </w:r>
          </w:p>
        </w:tc>
        <w:tc>
          <w:tcPr>
            <w:tcW w:w="1260" w:type="dxa"/>
            <w:vAlign w:val="center"/>
          </w:tcPr>
          <w:p w14:paraId="751389AB"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AC" w14:textId="77777777" w:rsidR="00412E89" w:rsidRPr="001A7AAB" w:rsidRDefault="001A7AAB" w:rsidP="001A7AAB">
            <w:pPr>
              <w:spacing w:before="120" w:after="120" w:line="240" w:lineRule="auto"/>
              <w:ind w:right="216"/>
              <w:jc w:val="right"/>
              <w:rPr>
                <w:sz w:val="24"/>
                <w:szCs w:val="24"/>
              </w:rPr>
            </w:pPr>
            <w:r>
              <w:rPr>
                <w:sz w:val="24"/>
                <w:szCs w:val="24"/>
              </w:rPr>
              <w:t>76</w:t>
            </w:r>
          </w:p>
        </w:tc>
        <w:tc>
          <w:tcPr>
            <w:tcW w:w="1152" w:type="dxa"/>
            <w:vAlign w:val="center"/>
          </w:tcPr>
          <w:p w14:paraId="751389AD"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B3" w14:textId="77777777" w:rsidTr="001A7AAB">
        <w:tc>
          <w:tcPr>
            <w:tcW w:w="6480" w:type="dxa"/>
            <w:vAlign w:val="center"/>
          </w:tcPr>
          <w:p w14:paraId="751389AF" w14:textId="77777777" w:rsidR="00412E89" w:rsidRPr="00412E89" w:rsidRDefault="00412E89" w:rsidP="00412E89">
            <w:pPr>
              <w:spacing w:before="120" w:after="120" w:line="240" w:lineRule="auto"/>
              <w:rPr>
                <w:sz w:val="24"/>
                <w:szCs w:val="24"/>
              </w:rPr>
            </w:pPr>
            <w:r w:rsidRPr="00412E89">
              <w:rPr>
                <w:sz w:val="24"/>
                <w:szCs w:val="24"/>
              </w:rPr>
              <w:t>Define elements of a successful coalition structure</w:t>
            </w:r>
          </w:p>
        </w:tc>
        <w:tc>
          <w:tcPr>
            <w:tcW w:w="1260" w:type="dxa"/>
            <w:vAlign w:val="center"/>
          </w:tcPr>
          <w:p w14:paraId="751389B0"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B1" w14:textId="77777777" w:rsidR="00412E89" w:rsidRPr="001A7AAB" w:rsidRDefault="001A7AAB" w:rsidP="001A7AAB">
            <w:pPr>
              <w:spacing w:before="120" w:after="120" w:line="240" w:lineRule="auto"/>
              <w:ind w:right="216"/>
              <w:jc w:val="right"/>
              <w:rPr>
                <w:sz w:val="24"/>
                <w:szCs w:val="24"/>
              </w:rPr>
            </w:pPr>
            <w:r>
              <w:rPr>
                <w:sz w:val="24"/>
                <w:szCs w:val="24"/>
              </w:rPr>
              <w:t>81</w:t>
            </w:r>
          </w:p>
        </w:tc>
        <w:tc>
          <w:tcPr>
            <w:tcW w:w="1152" w:type="dxa"/>
            <w:vAlign w:val="center"/>
          </w:tcPr>
          <w:p w14:paraId="751389B2"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1A7AAB" w:rsidRPr="00412E89" w14:paraId="751389B8" w14:textId="77777777" w:rsidTr="001A7AAB">
        <w:tc>
          <w:tcPr>
            <w:tcW w:w="6480" w:type="dxa"/>
            <w:vAlign w:val="center"/>
          </w:tcPr>
          <w:p w14:paraId="751389B4" w14:textId="77777777" w:rsidR="001A7AAB" w:rsidRPr="00412E89" w:rsidRDefault="001A7AAB" w:rsidP="00412E89">
            <w:pPr>
              <w:spacing w:before="120" w:after="120" w:line="240" w:lineRule="auto"/>
              <w:rPr>
                <w:sz w:val="24"/>
                <w:szCs w:val="24"/>
              </w:rPr>
            </w:pPr>
            <w:r>
              <w:rPr>
                <w:sz w:val="24"/>
                <w:szCs w:val="24"/>
              </w:rPr>
              <w:t>Adapt examples of success from other settings to your own community</w:t>
            </w:r>
          </w:p>
        </w:tc>
        <w:tc>
          <w:tcPr>
            <w:tcW w:w="1260" w:type="dxa"/>
            <w:vAlign w:val="center"/>
          </w:tcPr>
          <w:p w14:paraId="751389B5" w14:textId="77777777" w:rsid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B6" w14:textId="77777777" w:rsidR="001A7AAB" w:rsidRDefault="001A7AAB" w:rsidP="001A7AAB">
            <w:pPr>
              <w:spacing w:before="120" w:after="120" w:line="240" w:lineRule="auto"/>
              <w:ind w:right="216"/>
              <w:jc w:val="right"/>
              <w:rPr>
                <w:sz w:val="24"/>
                <w:szCs w:val="24"/>
              </w:rPr>
            </w:pPr>
            <w:r>
              <w:rPr>
                <w:sz w:val="24"/>
                <w:szCs w:val="24"/>
              </w:rPr>
              <w:t>80</w:t>
            </w:r>
          </w:p>
        </w:tc>
        <w:tc>
          <w:tcPr>
            <w:tcW w:w="1152" w:type="dxa"/>
            <w:vAlign w:val="center"/>
          </w:tcPr>
          <w:p w14:paraId="751389B7" w14:textId="77777777" w:rsid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BD" w14:textId="77777777" w:rsidTr="001A7AAB">
        <w:tc>
          <w:tcPr>
            <w:tcW w:w="6480" w:type="dxa"/>
            <w:vAlign w:val="center"/>
          </w:tcPr>
          <w:p w14:paraId="751389B9" w14:textId="77777777" w:rsidR="00412E89" w:rsidRPr="00412E89" w:rsidRDefault="00412E89" w:rsidP="00412E89">
            <w:pPr>
              <w:spacing w:before="120" w:after="120" w:line="240" w:lineRule="auto"/>
              <w:rPr>
                <w:sz w:val="24"/>
                <w:szCs w:val="24"/>
              </w:rPr>
            </w:pPr>
            <w:r w:rsidRPr="00412E89">
              <w:rPr>
                <w:sz w:val="24"/>
                <w:szCs w:val="24"/>
              </w:rPr>
              <w:t>Identify action steps that address physical activity in your community</w:t>
            </w:r>
          </w:p>
        </w:tc>
        <w:tc>
          <w:tcPr>
            <w:tcW w:w="1260" w:type="dxa"/>
            <w:vAlign w:val="center"/>
          </w:tcPr>
          <w:p w14:paraId="751389BA"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BB" w14:textId="77777777" w:rsidR="00412E89" w:rsidRPr="001A7AAB" w:rsidRDefault="001A7AAB" w:rsidP="001A7AAB">
            <w:pPr>
              <w:spacing w:before="120" w:after="120" w:line="240" w:lineRule="auto"/>
              <w:ind w:right="216"/>
              <w:jc w:val="right"/>
              <w:rPr>
                <w:sz w:val="24"/>
                <w:szCs w:val="24"/>
              </w:rPr>
            </w:pPr>
            <w:r>
              <w:rPr>
                <w:sz w:val="24"/>
                <w:szCs w:val="24"/>
              </w:rPr>
              <w:t>86</w:t>
            </w:r>
          </w:p>
        </w:tc>
        <w:tc>
          <w:tcPr>
            <w:tcW w:w="1152" w:type="dxa"/>
            <w:vAlign w:val="center"/>
          </w:tcPr>
          <w:p w14:paraId="751389BC"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C2" w14:textId="77777777" w:rsidTr="001A7AAB">
        <w:tc>
          <w:tcPr>
            <w:tcW w:w="6480" w:type="dxa"/>
            <w:vAlign w:val="center"/>
          </w:tcPr>
          <w:p w14:paraId="751389BE" w14:textId="77777777" w:rsidR="00412E89" w:rsidRPr="00412E89" w:rsidRDefault="00412E89" w:rsidP="00412E89">
            <w:pPr>
              <w:spacing w:before="120" w:after="120" w:line="240" w:lineRule="auto"/>
              <w:rPr>
                <w:sz w:val="24"/>
                <w:szCs w:val="24"/>
              </w:rPr>
            </w:pPr>
            <w:r w:rsidRPr="00412E89">
              <w:rPr>
                <w:sz w:val="24"/>
                <w:szCs w:val="24"/>
              </w:rPr>
              <w:t>Identify action steps that address nutrition in your community</w:t>
            </w:r>
          </w:p>
        </w:tc>
        <w:tc>
          <w:tcPr>
            <w:tcW w:w="1260" w:type="dxa"/>
            <w:vAlign w:val="center"/>
          </w:tcPr>
          <w:p w14:paraId="751389BF"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C0" w14:textId="77777777" w:rsidR="00412E89" w:rsidRPr="001A7AAB" w:rsidRDefault="001A7AAB" w:rsidP="001A7AAB">
            <w:pPr>
              <w:spacing w:before="120" w:after="120" w:line="240" w:lineRule="auto"/>
              <w:ind w:right="216"/>
              <w:jc w:val="right"/>
              <w:rPr>
                <w:sz w:val="24"/>
                <w:szCs w:val="24"/>
              </w:rPr>
            </w:pPr>
            <w:r>
              <w:rPr>
                <w:sz w:val="24"/>
                <w:szCs w:val="24"/>
              </w:rPr>
              <w:t>87</w:t>
            </w:r>
          </w:p>
        </w:tc>
        <w:tc>
          <w:tcPr>
            <w:tcW w:w="1152" w:type="dxa"/>
            <w:vAlign w:val="center"/>
          </w:tcPr>
          <w:p w14:paraId="751389C1"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C7" w14:textId="77777777" w:rsidTr="001A7AAB">
        <w:tc>
          <w:tcPr>
            <w:tcW w:w="6480" w:type="dxa"/>
            <w:vAlign w:val="center"/>
          </w:tcPr>
          <w:p w14:paraId="751389C3" w14:textId="77777777" w:rsidR="00412E89" w:rsidRPr="00412E89" w:rsidRDefault="00412E89" w:rsidP="00412E89">
            <w:pPr>
              <w:spacing w:before="120" w:after="120" w:line="240" w:lineRule="auto"/>
              <w:rPr>
                <w:sz w:val="24"/>
                <w:szCs w:val="24"/>
              </w:rPr>
            </w:pPr>
            <w:r w:rsidRPr="00412E89">
              <w:rPr>
                <w:sz w:val="24"/>
                <w:szCs w:val="24"/>
              </w:rPr>
              <w:t>Identify key partners to recruit to work on action steps in your action plan</w:t>
            </w:r>
          </w:p>
        </w:tc>
        <w:tc>
          <w:tcPr>
            <w:tcW w:w="1260" w:type="dxa"/>
            <w:vAlign w:val="center"/>
          </w:tcPr>
          <w:p w14:paraId="751389C4"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C5" w14:textId="77777777" w:rsidR="00412E89" w:rsidRPr="001A7AAB" w:rsidRDefault="001A7AAB" w:rsidP="001A7AAB">
            <w:pPr>
              <w:spacing w:before="120" w:after="120" w:line="240" w:lineRule="auto"/>
              <w:ind w:right="216"/>
              <w:jc w:val="right"/>
              <w:rPr>
                <w:sz w:val="24"/>
                <w:szCs w:val="24"/>
              </w:rPr>
            </w:pPr>
            <w:r>
              <w:rPr>
                <w:sz w:val="24"/>
                <w:szCs w:val="24"/>
              </w:rPr>
              <w:t>87</w:t>
            </w:r>
          </w:p>
        </w:tc>
        <w:tc>
          <w:tcPr>
            <w:tcW w:w="1152" w:type="dxa"/>
            <w:vAlign w:val="center"/>
          </w:tcPr>
          <w:p w14:paraId="751389C6"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CC" w14:textId="77777777" w:rsidTr="001A7AAB">
        <w:tc>
          <w:tcPr>
            <w:tcW w:w="6480" w:type="dxa"/>
            <w:vAlign w:val="center"/>
          </w:tcPr>
          <w:p w14:paraId="751389C8" w14:textId="77777777" w:rsidR="00412E89" w:rsidRPr="00412E89" w:rsidRDefault="00412E89" w:rsidP="00412E89">
            <w:pPr>
              <w:spacing w:before="120" w:after="120" w:line="240" w:lineRule="auto"/>
              <w:rPr>
                <w:sz w:val="24"/>
                <w:szCs w:val="24"/>
              </w:rPr>
            </w:pPr>
            <w:r w:rsidRPr="00412E89">
              <w:rPr>
                <w:sz w:val="24"/>
                <w:szCs w:val="24"/>
              </w:rPr>
              <w:t>Access local policy makers</w:t>
            </w:r>
          </w:p>
        </w:tc>
        <w:tc>
          <w:tcPr>
            <w:tcW w:w="1260" w:type="dxa"/>
            <w:vAlign w:val="center"/>
          </w:tcPr>
          <w:p w14:paraId="751389C9"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CA" w14:textId="77777777" w:rsidR="00412E89" w:rsidRPr="001A7AAB" w:rsidRDefault="001A7AAB" w:rsidP="001A7AAB">
            <w:pPr>
              <w:spacing w:before="120" w:after="120" w:line="240" w:lineRule="auto"/>
              <w:ind w:right="216"/>
              <w:jc w:val="right"/>
              <w:rPr>
                <w:sz w:val="24"/>
                <w:szCs w:val="24"/>
              </w:rPr>
            </w:pPr>
            <w:r>
              <w:rPr>
                <w:sz w:val="24"/>
                <w:szCs w:val="24"/>
              </w:rPr>
              <w:t>77</w:t>
            </w:r>
          </w:p>
        </w:tc>
        <w:tc>
          <w:tcPr>
            <w:tcW w:w="1152" w:type="dxa"/>
            <w:vAlign w:val="center"/>
          </w:tcPr>
          <w:p w14:paraId="751389CB"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D1" w14:textId="77777777" w:rsidTr="001A7AAB">
        <w:tc>
          <w:tcPr>
            <w:tcW w:w="6480" w:type="dxa"/>
            <w:vAlign w:val="center"/>
          </w:tcPr>
          <w:p w14:paraId="751389CD" w14:textId="77777777" w:rsidR="00412E89" w:rsidRPr="00412E89" w:rsidRDefault="00412E89" w:rsidP="00412E89">
            <w:pPr>
              <w:spacing w:before="120" w:after="120" w:line="240" w:lineRule="auto"/>
              <w:rPr>
                <w:sz w:val="24"/>
                <w:szCs w:val="24"/>
              </w:rPr>
            </w:pPr>
            <w:r w:rsidRPr="00412E89">
              <w:rPr>
                <w:sz w:val="24"/>
                <w:szCs w:val="24"/>
              </w:rPr>
              <w:t>Tie action steps in your plan to defined and measurable outcomes</w:t>
            </w:r>
          </w:p>
        </w:tc>
        <w:tc>
          <w:tcPr>
            <w:tcW w:w="1260" w:type="dxa"/>
            <w:vAlign w:val="center"/>
          </w:tcPr>
          <w:p w14:paraId="751389CE"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CF" w14:textId="77777777" w:rsidR="00412E89" w:rsidRPr="001A7AAB" w:rsidRDefault="001A7AAB" w:rsidP="001A7AAB">
            <w:pPr>
              <w:spacing w:before="120" w:after="120" w:line="240" w:lineRule="auto"/>
              <w:ind w:right="216"/>
              <w:jc w:val="right"/>
              <w:rPr>
                <w:sz w:val="24"/>
                <w:szCs w:val="24"/>
              </w:rPr>
            </w:pPr>
            <w:r>
              <w:rPr>
                <w:sz w:val="24"/>
                <w:szCs w:val="24"/>
              </w:rPr>
              <w:t>79</w:t>
            </w:r>
          </w:p>
        </w:tc>
        <w:tc>
          <w:tcPr>
            <w:tcW w:w="1152" w:type="dxa"/>
            <w:vAlign w:val="center"/>
          </w:tcPr>
          <w:p w14:paraId="751389D0" w14:textId="77777777" w:rsidR="00412E89" w:rsidRPr="001A7AAB" w:rsidRDefault="001A7AAB" w:rsidP="001A7AAB">
            <w:pPr>
              <w:spacing w:before="120" w:after="120" w:line="240" w:lineRule="auto"/>
              <w:ind w:right="216"/>
              <w:jc w:val="right"/>
              <w:rPr>
                <w:sz w:val="24"/>
                <w:szCs w:val="24"/>
              </w:rPr>
            </w:pPr>
            <w:r>
              <w:rPr>
                <w:sz w:val="24"/>
                <w:szCs w:val="24"/>
              </w:rPr>
              <w:t>--</w:t>
            </w:r>
          </w:p>
        </w:tc>
      </w:tr>
      <w:tr w:rsidR="00412E89" w:rsidRPr="00412E89" w14:paraId="751389D6" w14:textId="77777777" w:rsidTr="001A7AAB">
        <w:tc>
          <w:tcPr>
            <w:tcW w:w="6480" w:type="dxa"/>
            <w:vAlign w:val="center"/>
          </w:tcPr>
          <w:p w14:paraId="751389D2" w14:textId="77777777" w:rsidR="00412E89" w:rsidRPr="00412E89" w:rsidRDefault="00412E89" w:rsidP="00412E89">
            <w:pPr>
              <w:spacing w:before="120" w:after="120" w:line="240" w:lineRule="auto"/>
              <w:rPr>
                <w:sz w:val="24"/>
                <w:szCs w:val="24"/>
              </w:rPr>
            </w:pPr>
            <w:r w:rsidRPr="00412E89">
              <w:rPr>
                <w:sz w:val="24"/>
                <w:szCs w:val="24"/>
              </w:rPr>
              <w:t>Begin work on your action plan within six months</w:t>
            </w:r>
          </w:p>
        </w:tc>
        <w:tc>
          <w:tcPr>
            <w:tcW w:w="1260" w:type="dxa"/>
            <w:vAlign w:val="center"/>
          </w:tcPr>
          <w:p w14:paraId="751389D3" w14:textId="77777777" w:rsidR="00412E89" w:rsidRPr="001A7AAB" w:rsidRDefault="001A7AAB" w:rsidP="001A7AAB">
            <w:pPr>
              <w:spacing w:before="120" w:after="120" w:line="240" w:lineRule="auto"/>
              <w:ind w:right="216"/>
              <w:jc w:val="right"/>
              <w:rPr>
                <w:sz w:val="24"/>
                <w:szCs w:val="24"/>
              </w:rPr>
            </w:pPr>
            <w:r>
              <w:rPr>
                <w:sz w:val="24"/>
                <w:szCs w:val="24"/>
              </w:rPr>
              <w:t>--</w:t>
            </w:r>
          </w:p>
        </w:tc>
        <w:tc>
          <w:tcPr>
            <w:tcW w:w="1350" w:type="dxa"/>
            <w:vAlign w:val="center"/>
          </w:tcPr>
          <w:p w14:paraId="751389D4" w14:textId="77777777" w:rsidR="00412E89" w:rsidRPr="001A7AAB" w:rsidRDefault="001A7AAB" w:rsidP="001A7AAB">
            <w:pPr>
              <w:spacing w:before="120" w:after="120" w:line="240" w:lineRule="auto"/>
              <w:ind w:right="216"/>
              <w:jc w:val="right"/>
              <w:rPr>
                <w:sz w:val="24"/>
                <w:szCs w:val="24"/>
              </w:rPr>
            </w:pPr>
            <w:r>
              <w:rPr>
                <w:sz w:val="24"/>
                <w:szCs w:val="24"/>
              </w:rPr>
              <w:t>79</w:t>
            </w:r>
          </w:p>
        </w:tc>
        <w:tc>
          <w:tcPr>
            <w:tcW w:w="1152" w:type="dxa"/>
            <w:vAlign w:val="center"/>
          </w:tcPr>
          <w:p w14:paraId="751389D5" w14:textId="77777777" w:rsidR="00412E89" w:rsidRPr="001A7AAB" w:rsidRDefault="001A7AAB" w:rsidP="001A7AAB">
            <w:pPr>
              <w:spacing w:before="120" w:after="120" w:line="240" w:lineRule="auto"/>
              <w:ind w:right="216"/>
              <w:jc w:val="right"/>
              <w:rPr>
                <w:sz w:val="24"/>
                <w:szCs w:val="24"/>
              </w:rPr>
            </w:pPr>
            <w:r>
              <w:rPr>
                <w:sz w:val="24"/>
                <w:szCs w:val="24"/>
              </w:rPr>
              <w:t>--</w:t>
            </w:r>
          </w:p>
        </w:tc>
      </w:tr>
    </w:tbl>
    <w:p w14:paraId="751389D7" w14:textId="77777777" w:rsidR="002B3B81" w:rsidRPr="00412E89" w:rsidRDefault="00412E89" w:rsidP="00412E89">
      <w:pPr>
        <w:spacing w:before="120" w:after="120"/>
        <w:rPr>
          <w:i/>
          <w:sz w:val="24"/>
          <w:szCs w:val="24"/>
        </w:rPr>
      </w:pPr>
      <w:r>
        <w:rPr>
          <w:b/>
          <w:sz w:val="24"/>
          <w:szCs w:val="24"/>
        </w:rPr>
        <w:t xml:space="preserve">  Rating Scale    </w:t>
      </w:r>
      <w:r>
        <w:rPr>
          <w:i/>
          <w:sz w:val="24"/>
          <w:szCs w:val="24"/>
        </w:rPr>
        <w:t>0 = cannot do at all   50= moderately confident can do    100 = highly confident can do</w:t>
      </w:r>
    </w:p>
    <w:sectPr w:rsidR="002B3B81" w:rsidRPr="00412E89" w:rsidSect="00935C0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89E5" w14:textId="77777777" w:rsidR="001D55B5" w:rsidRDefault="001D55B5" w:rsidP="00935C0E">
      <w:pPr>
        <w:spacing w:after="0" w:line="240" w:lineRule="auto"/>
      </w:pPr>
      <w:r>
        <w:separator/>
      </w:r>
    </w:p>
  </w:endnote>
  <w:endnote w:type="continuationSeparator" w:id="0">
    <w:p w14:paraId="751389E6" w14:textId="77777777" w:rsidR="001D55B5" w:rsidRDefault="001D55B5" w:rsidP="0093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47371"/>
      <w:docPartObj>
        <w:docPartGallery w:val="Page Numbers (Bottom of Page)"/>
        <w:docPartUnique/>
      </w:docPartObj>
    </w:sdtPr>
    <w:sdtEndPr/>
    <w:sdtContent>
      <w:p w14:paraId="751389E8" w14:textId="77777777" w:rsidR="00C77AD5" w:rsidRDefault="00C77AD5">
        <w:pPr>
          <w:pStyle w:val="Footer"/>
        </w:pPr>
        <w:r>
          <w:ptab w:relativeTo="margin" w:alignment="right" w:leader="none"/>
        </w:r>
        <w:r w:rsidR="00445AD8">
          <w:fldChar w:fldCharType="begin"/>
        </w:r>
        <w:r w:rsidR="00445AD8">
          <w:instrText xml:space="preserve"> PAGE   \* MERGEFORMAT </w:instrText>
        </w:r>
        <w:r w:rsidR="00445AD8">
          <w:fldChar w:fldCharType="separate"/>
        </w:r>
        <w:r w:rsidR="002D22FF">
          <w:rPr>
            <w:noProof/>
          </w:rPr>
          <w:t>1</w:t>
        </w:r>
        <w:r w:rsidR="00445AD8">
          <w:rPr>
            <w:noProof/>
          </w:rPr>
          <w:fldChar w:fldCharType="end"/>
        </w:r>
      </w:p>
    </w:sdtContent>
  </w:sdt>
  <w:p w14:paraId="751389E9" w14:textId="77777777" w:rsidR="00C77AD5" w:rsidRDefault="00C7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389E3" w14:textId="77777777" w:rsidR="001D55B5" w:rsidRDefault="001D55B5" w:rsidP="00935C0E">
      <w:pPr>
        <w:spacing w:after="0" w:line="240" w:lineRule="auto"/>
      </w:pPr>
      <w:r>
        <w:separator/>
      </w:r>
    </w:p>
  </w:footnote>
  <w:footnote w:type="continuationSeparator" w:id="0">
    <w:p w14:paraId="751389E4" w14:textId="77777777" w:rsidR="001D55B5" w:rsidRDefault="001D55B5" w:rsidP="0093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89E7" w14:textId="6014E999" w:rsidR="00190108" w:rsidRDefault="00190108" w:rsidP="001E07B7">
    <w:pPr>
      <w:pStyle w:val="Header"/>
      <w:tabs>
        <w:tab w:val="clear" w:pos="4680"/>
        <w:tab w:val="clear" w:pos="9360"/>
        <w:tab w:val="center" w:pos="5040"/>
        <w:tab w:val="right" w:pos="10080"/>
      </w:tabs>
    </w:pPr>
    <w:r>
      <w:t>New York State Department of Health – Division of Chronic Disease Prevention</w:t>
    </w:r>
    <w:r>
      <w:tab/>
      <w:t xml:space="preserve">Release Date: </w:t>
    </w:r>
    <w:r w:rsidR="00445AD8">
      <w:t>07/18/2013</w:t>
    </w:r>
    <w:r w:rsidR="006C573D">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0E"/>
    <w:rsid w:val="00055C6B"/>
    <w:rsid w:val="00061CC6"/>
    <w:rsid w:val="00065933"/>
    <w:rsid w:val="00082020"/>
    <w:rsid w:val="000A483B"/>
    <w:rsid w:val="000B0415"/>
    <w:rsid w:val="000B466F"/>
    <w:rsid w:val="000C53D7"/>
    <w:rsid w:val="000D55DD"/>
    <w:rsid w:val="000E716C"/>
    <w:rsid w:val="00120363"/>
    <w:rsid w:val="001410BC"/>
    <w:rsid w:val="00150738"/>
    <w:rsid w:val="00174617"/>
    <w:rsid w:val="001770D5"/>
    <w:rsid w:val="0018723B"/>
    <w:rsid w:val="00190108"/>
    <w:rsid w:val="001A7AAB"/>
    <w:rsid w:val="001B0843"/>
    <w:rsid w:val="001B29E1"/>
    <w:rsid w:val="001B4CDA"/>
    <w:rsid w:val="001D55B5"/>
    <w:rsid w:val="001E07B7"/>
    <w:rsid w:val="002165A5"/>
    <w:rsid w:val="00222A69"/>
    <w:rsid w:val="00230F72"/>
    <w:rsid w:val="00234F7E"/>
    <w:rsid w:val="002361C0"/>
    <w:rsid w:val="00241ACB"/>
    <w:rsid w:val="0025064F"/>
    <w:rsid w:val="002579B6"/>
    <w:rsid w:val="00261C25"/>
    <w:rsid w:val="002855DD"/>
    <w:rsid w:val="002876CD"/>
    <w:rsid w:val="002A4CD8"/>
    <w:rsid w:val="002B22BF"/>
    <w:rsid w:val="002B3B81"/>
    <w:rsid w:val="002B7E2D"/>
    <w:rsid w:val="002D1A38"/>
    <w:rsid w:val="002D22FF"/>
    <w:rsid w:val="002F3BD4"/>
    <w:rsid w:val="00303712"/>
    <w:rsid w:val="003113FC"/>
    <w:rsid w:val="0031358A"/>
    <w:rsid w:val="003256BC"/>
    <w:rsid w:val="003366F3"/>
    <w:rsid w:val="00361C0C"/>
    <w:rsid w:val="00364645"/>
    <w:rsid w:val="00390EA5"/>
    <w:rsid w:val="003A234E"/>
    <w:rsid w:val="003B5713"/>
    <w:rsid w:val="003B5CBC"/>
    <w:rsid w:val="003E766E"/>
    <w:rsid w:val="00404AF6"/>
    <w:rsid w:val="00412E89"/>
    <w:rsid w:val="00445AD8"/>
    <w:rsid w:val="00451FFF"/>
    <w:rsid w:val="00452C05"/>
    <w:rsid w:val="00491CC4"/>
    <w:rsid w:val="004A507A"/>
    <w:rsid w:val="004B0168"/>
    <w:rsid w:val="004C366A"/>
    <w:rsid w:val="004D5067"/>
    <w:rsid w:val="004D5B5F"/>
    <w:rsid w:val="004E5A8E"/>
    <w:rsid w:val="00527D16"/>
    <w:rsid w:val="0056176E"/>
    <w:rsid w:val="005775C5"/>
    <w:rsid w:val="005835C7"/>
    <w:rsid w:val="00587090"/>
    <w:rsid w:val="0058749E"/>
    <w:rsid w:val="005960F6"/>
    <w:rsid w:val="005B3CF7"/>
    <w:rsid w:val="005D2F06"/>
    <w:rsid w:val="005D5A17"/>
    <w:rsid w:val="00637847"/>
    <w:rsid w:val="00642A81"/>
    <w:rsid w:val="00660364"/>
    <w:rsid w:val="00665004"/>
    <w:rsid w:val="006A7DE0"/>
    <w:rsid w:val="006C076B"/>
    <w:rsid w:val="006C573D"/>
    <w:rsid w:val="006D4B2A"/>
    <w:rsid w:val="006F3066"/>
    <w:rsid w:val="00700184"/>
    <w:rsid w:val="00702860"/>
    <w:rsid w:val="00706541"/>
    <w:rsid w:val="00721405"/>
    <w:rsid w:val="00731A19"/>
    <w:rsid w:val="00741A90"/>
    <w:rsid w:val="00751937"/>
    <w:rsid w:val="00764288"/>
    <w:rsid w:val="0078324A"/>
    <w:rsid w:val="0078324D"/>
    <w:rsid w:val="00791308"/>
    <w:rsid w:val="007B5926"/>
    <w:rsid w:val="007C579A"/>
    <w:rsid w:val="007D2809"/>
    <w:rsid w:val="007E2B88"/>
    <w:rsid w:val="00826B8F"/>
    <w:rsid w:val="008363A5"/>
    <w:rsid w:val="00851F53"/>
    <w:rsid w:val="00863FEF"/>
    <w:rsid w:val="00864A93"/>
    <w:rsid w:val="008951DA"/>
    <w:rsid w:val="008B2135"/>
    <w:rsid w:val="008B4D42"/>
    <w:rsid w:val="008B6E7A"/>
    <w:rsid w:val="008E28A2"/>
    <w:rsid w:val="00911815"/>
    <w:rsid w:val="00935C0E"/>
    <w:rsid w:val="00936732"/>
    <w:rsid w:val="00983161"/>
    <w:rsid w:val="009954AE"/>
    <w:rsid w:val="009A071F"/>
    <w:rsid w:val="009A341C"/>
    <w:rsid w:val="009E544A"/>
    <w:rsid w:val="009F28EF"/>
    <w:rsid w:val="00A5723C"/>
    <w:rsid w:val="00A57D43"/>
    <w:rsid w:val="00A865CA"/>
    <w:rsid w:val="00AB2567"/>
    <w:rsid w:val="00AC7F51"/>
    <w:rsid w:val="00AD22F5"/>
    <w:rsid w:val="00AF1292"/>
    <w:rsid w:val="00AF181D"/>
    <w:rsid w:val="00B042A7"/>
    <w:rsid w:val="00B57C95"/>
    <w:rsid w:val="00B859D0"/>
    <w:rsid w:val="00B90A8F"/>
    <w:rsid w:val="00BB07B7"/>
    <w:rsid w:val="00BE1C57"/>
    <w:rsid w:val="00BF176B"/>
    <w:rsid w:val="00BF7FB6"/>
    <w:rsid w:val="00C00EE6"/>
    <w:rsid w:val="00C039EB"/>
    <w:rsid w:val="00C075D0"/>
    <w:rsid w:val="00C07FA9"/>
    <w:rsid w:val="00C264F6"/>
    <w:rsid w:val="00C4595C"/>
    <w:rsid w:val="00C472D5"/>
    <w:rsid w:val="00C65693"/>
    <w:rsid w:val="00C77AD5"/>
    <w:rsid w:val="00C80ADA"/>
    <w:rsid w:val="00C952E0"/>
    <w:rsid w:val="00CE32F6"/>
    <w:rsid w:val="00CE6FD8"/>
    <w:rsid w:val="00D15220"/>
    <w:rsid w:val="00D15395"/>
    <w:rsid w:val="00D17BFC"/>
    <w:rsid w:val="00D21986"/>
    <w:rsid w:val="00D21D36"/>
    <w:rsid w:val="00D4058C"/>
    <w:rsid w:val="00D50CD9"/>
    <w:rsid w:val="00D74870"/>
    <w:rsid w:val="00D90353"/>
    <w:rsid w:val="00D90CF8"/>
    <w:rsid w:val="00DA3743"/>
    <w:rsid w:val="00DA6527"/>
    <w:rsid w:val="00DD6D67"/>
    <w:rsid w:val="00E01736"/>
    <w:rsid w:val="00E2350F"/>
    <w:rsid w:val="00E32593"/>
    <w:rsid w:val="00E65C5F"/>
    <w:rsid w:val="00E65E05"/>
    <w:rsid w:val="00E71275"/>
    <w:rsid w:val="00E716E5"/>
    <w:rsid w:val="00EA438C"/>
    <w:rsid w:val="00EC6A73"/>
    <w:rsid w:val="00ED4111"/>
    <w:rsid w:val="00EE386B"/>
    <w:rsid w:val="00F47F08"/>
    <w:rsid w:val="00F7268B"/>
    <w:rsid w:val="00F74541"/>
    <w:rsid w:val="00F843FA"/>
    <w:rsid w:val="00F860A8"/>
    <w:rsid w:val="00FB7CB8"/>
    <w:rsid w:val="00FC5F95"/>
    <w:rsid w:val="00FC7DCF"/>
    <w:rsid w:val="00FD7C70"/>
    <w:rsid w:val="00FF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0E"/>
  </w:style>
  <w:style w:type="paragraph" w:styleId="Footer">
    <w:name w:val="footer"/>
    <w:basedOn w:val="Normal"/>
    <w:link w:val="FooterChar"/>
    <w:uiPriority w:val="99"/>
    <w:unhideWhenUsed/>
    <w:rsid w:val="00935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0E"/>
  </w:style>
  <w:style w:type="paragraph" w:styleId="BalloonText">
    <w:name w:val="Balloon Text"/>
    <w:basedOn w:val="Normal"/>
    <w:link w:val="BalloonTextChar"/>
    <w:uiPriority w:val="99"/>
    <w:semiHidden/>
    <w:unhideWhenUsed/>
    <w:rsid w:val="009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0E"/>
    <w:rPr>
      <w:rFonts w:ascii="Tahoma" w:hAnsi="Tahoma" w:cs="Tahoma"/>
      <w:sz w:val="16"/>
      <w:szCs w:val="16"/>
    </w:rPr>
  </w:style>
  <w:style w:type="table" w:styleId="TableGrid">
    <w:name w:val="Table Grid"/>
    <w:basedOn w:val="TableNormal"/>
    <w:uiPriority w:val="59"/>
    <w:rsid w:val="0041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6D67"/>
    <w:rPr>
      <w:sz w:val="16"/>
      <w:szCs w:val="16"/>
    </w:rPr>
  </w:style>
  <w:style w:type="paragraph" w:styleId="CommentText">
    <w:name w:val="annotation text"/>
    <w:basedOn w:val="Normal"/>
    <w:link w:val="CommentTextChar"/>
    <w:uiPriority w:val="99"/>
    <w:semiHidden/>
    <w:unhideWhenUsed/>
    <w:rsid w:val="00DD6D67"/>
    <w:rPr>
      <w:sz w:val="20"/>
      <w:szCs w:val="20"/>
    </w:rPr>
  </w:style>
  <w:style w:type="character" w:customStyle="1" w:styleId="CommentTextChar">
    <w:name w:val="Comment Text Char"/>
    <w:basedOn w:val="DefaultParagraphFont"/>
    <w:link w:val="CommentText"/>
    <w:uiPriority w:val="99"/>
    <w:semiHidden/>
    <w:rsid w:val="00DD6D67"/>
  </w:style>
  <w:style w:type="paragraph" w:styleId="CommentSubject">
    <w:name w:val="annotation subject"/>
    <w:basedOn w:val="CommentText"/>
    <w:next w:val="CommentText"/>
    <w:link w:val="CommentSubjectChar"/>
    <w:uiPriority w:val="99"/>
    <w:semiHidden/>
    <w:unhideWhenUsed/>
    <w:rsid w:val="00DD6D67"/>
    <w:rPr>
      <w:b/>
      <w:bCs/>
    </w:rPr>
  </w:style>
  <w:style w:type="character" w:customStyle="1" w:styleId="CommentSubjectChar">
    <w:name w:val="Comment Subject Char"/>
    <w:basedOn w:val="CommentTextChar"/>
    <w:link w:val="CommentSubject"/>
    <w:uiPriority w:val="99"/>
    <w:semiHidden/>
    <w:rsid w:val="00DD6D67"/>
    <w:rPr>
      <w:b/>
      <w:bCs/>
    </w:rPr>
  </w:style>
  <w:style w:type="paragraph" w:styleId="NoSpacing">
    <w:name w:val="No Spacing"/>
    <w:uiPriority w:val="1"/>
    <w:qFormat/>
    <w:rsid w:val="00A57D4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0E"/>
  </w:style>
  <w:style w:type="paragraph" w:styleId="Footer">
    <w:name w:val="footer"/>
    <w:basedOn w:val="Normal"/>
    <w:link w:val="FooterChar"/>
    <w:uiPriority w:val="99"/>
    <w:unhideWhenUsed/>
    <w:rsid w:val="00935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0E"/>
  </w:style>
  <w:style w:type="paragraph" w:styleId="BalloonText">
    <w:name w:val="Balloon Text"/>
    <w:basedOn w:val="Normal"/>
    <w:link w:val="BalloonTextChar"/>
    <w:uiPriority w:val="99"/>
    <w:semiHidden/>
    <w:unhideWhenUsed/>
    <w:rsid w:val="009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0E"/>
    <w:rPr>
      <w:rFonts w:ascii="Tahoma" w:hAnsi="Tahoma" w:cs="Tahoma"/>
      <w:sz w:val="16"/>
      <w:szCs w:val="16"/>
    </w:rPr>
  </w:style>
  <w:style w:type="table" w:styleId="TableGrid">
    <w:name w:val="Table Grid"/>
    <w:basedOn w:val="TableNormal"/>
    <w:uiPriority w:val="59"/>
    <w:rsid w:val="0041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6D67"/>
    <w:rPr>
      <w:sz w:val="16"/>
      <w:szCs w:val="16"/>
    </w:rPr>
  </w:style>
  <w:style w:type="paragraph" w:styleId="CommentText">
    <w:name w:val="annotation text"/>
    <w:basedOn w:val="Normal"/>
    <w:link w:val="CommentTextChar"/>
    <w:uiPriority w:val="99"/>
    <w:semiHidden/>
    <w:unhideWhenUsed/>
    <w:rsid w:val="00DD6D67"/>
    <w:rPr>
      <w:sz w:val="20"/>
      <w:szCs w:val="20"/>
    </w:rPr>
  </w:style>
  <w:style w:type="character" w:customStyle="1" w:styleId="CommentTextChar">
    <w:name w:val="Comment Text Char"/>
    <w:basedOn w:val="DefaultParagraphFont"/>
    <w:link w:val="CommentText"/>
    <w:uiPriority w:val="99"/>
    <w:semiHidden/>
    <w:rsid w:val="00DD6D67"/>
  </w:style>
  <w:style w:type="paragraph" w:styleId="CommentSubject">
    <w:name w:val="annotation subject"/>
    <w:basedOn w:val="CommentText"/>
    <w:next w:val="CommentText"/>
    <w:link w:val="CommentSubjectChar"/>
    <w:uiPriority w:val="99"/>
    <w:semiHidden/>
    <w:unhideWhenUsed/>
    <w:rsid w:val="00DD6D67"/>
    <w:rPr>
      <w:b/>
      <w:bCs/>
    </w:rPr>
  </w:style>
  <w:style w:type="character" w:customStyle="1" w:styleId="CommentSubjectChar">
    <w:name w:val="Comment Subject Char"/>
    <w:basedOn w:val="CommentTextChar"/>
    <w:link w:val="CommentSubject"/>
    <w:uiPriority w:val="99"/>
    <w:semiHidden/>
    <w:rsid w:val="00DD6D67"/>
    <w:rPr>
      <w:b/>
      <w:bCs/>
    </w:rPr>
  </w:style>
  <w:style w:type="paragraph" w:styleId="NoSpacing">
    <w:name w:val="No Spacing"/>
    <w:uiPriority w:val="1"/>
    <w:qFormat/>
    <w:rsid w:val="00A57D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221">
      <w:bodyDiv w:val="1"/>
      <w:marLeft w:val="0"/>
      <w:marRight w:val="0"/>
      <w:marTop w:val="0"/>
      <w:marBottom w:val="0"/>
      <w:divBdr>
        <w:top w:val="none" w:sz="0" w:space="0" w:color="auto"/>
        <w:left w:val="none" w:sz="0" w:space="0" w:color="auto"/>
        <w:bottom w:val="none" w:sz="0" w:space="0" w:color="auto"/>
        <w:right w:val="none" w:sz="0" w:space="0" w:color="auto"/>
      </w:divBdr>
    </w:div>
    <w:div w:id="370348148">
      <w:bodyDiv w:val="1"/>
      <w:marLeft w:val="0"/>
      <w:marRight w:val="0"/>
      <w:marTop w:val="0"/>
      <w:marBottom w:val="0"/>
      <w:divBdr>
        <w:top w:val="none" w:sz="0" w:space="0" w:color="auto"/>
        <w:left w:val="none" w:sz="0" w:space="0" w:color="auto"/>
        <w:bottom w:val="none" w:sz="0" w:space="0" w:color="auto"/>
        <w:right w:val="none" w:sz="0" w:space="0" w:color="auto"/>
      </w:divBdr>
    </w:div>
    <w:div w:id="636643078">
      <w:bodyDiv w:val="1"/>
      <w:marLeft w:val="0"/>
      <w:marRight w:val="0"/>
      <w:marTop w:val="0"/>
      <w:marBottom w:val="0"/>
      <w:divBdr>
        <w:top w:val="none" w:sz="0" w:space="0" w:color="auto"/>
        <w:left w:val="none" w:sz="0" w:space="0" w:color="auto"/>
        <w:bottom w:val="none" w:sz="0" w:space="0" w:color="auto"/>
        <w:right w:val="none" w:sz="0" w:space="0" w:color="auto"/>
      </w:divBdr>
    </w:div>
    <w:div w:id="1358508341">
      <w:bodyDiv w:val="1"/>
      <w:marLeft w:val="0"/>
      <w:marRight w:val="0"/>
      <w:marTop w:val="0"/>
      <w:marBottom w:val="0"/>
      <w:divBdr>
        <w:top w:val="none" w:sz="0" w:space="0" w:color="auto"/>
        <w:left w:val="none" w:sz="0" w:space="0" w:color="auto"/>
        <w:bottom w:val="none" w:sz="0" w:space="0" w:color="auto"/>
        <w:right w:val="none" w:sz="0" w:space="0" w:color="auto"/>
      </w:divBdr>
    </w:div>
    <w:div w:id="1390107477">
      <w:bodyDiv w:val="1"/>
      <w:marLeft w:val="0"/>
      <w:marRight w:val="0"/>
      <w:marTop w:val="0"/>
      <w:marBottom w:val="0"/>
      <w:divBdr>
        <w:top w:val="none" w:sz="0" w:space="0" w:color="auto"/>
        <w:left w:val="none" w:sz="0" w:space="0" w:color="auto"/>
        <w:bottom w:val="none" w:sz="0" w:space="0" w:color="auto"/>
        <w:right w:val="none" w:sz="0" w:space="0" w:color="auto"/>
      </w:divBdr>
    </w:div>
    <w:div w:id="18354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Sheet1!$A$1:$A$7</c:f>
              <c:strCache>
                <c:ptCount val="7"/>
                <c:pt idx="0">
                  <c:v>Coalition Building</c:v>
                </c:pt>
                <c:pt idx="1">
                  <c:v>Community Assessment</c:v>
                </c:pt>
                <c:pt idx="2">
                  <c:v>Education/Health Promotion</c:v>
                </c:pt>
                <c:pt idx="3">
                  <c:v>Environmental Change</c:v>
                </c:pt>
                <c:pt idx="4">
                  <c:v>Policy Change</c:v>
                </c:pt>
                <c:pt idx="5">
                  <c:v>Systems Change</c:v>
                </c:pt>
                <c:pt idx="6">
                  <c:v>Increase Opportunities</c:v>
                </c:pt>
              </c:strCache>
            </c:strRef>
          </c:cat>
          <c:val>
            <c:numRef>
              <c:f>Sheet1!$B$1:$B$7</c:f>
              <c:numCache>
                <c:formatCode>0.0%</c:formatCode>
                <c:ptCount val="7"/>
                <c:pt idx="0">
                  <c:v>0.25</c:v>
                </c:pt>
                <c:pt idx="1">
                  <c:v>5.8000000000000058E-2</c:v>
                </c:pt>
                <c:pt idx="2">
                  <c:v>0.48100000000000032</c:v>
                </c:pt>
                <c:pt idx="3">
                  <c:v>0.44200000000000028</c:v>
                </c:pt>
                <c:pt idx="4">
                  <c:v>0.17300000000000001</c:v>
                </c:pt>
                <c:pt idx="5">
                  <c:v>0.19200000000000014</c:v>
                </c:pt>
                <c:pt idx="6">
                  <c:v>0.25</c:v>
                </c:pt>
              </c:numCache>
            </c:numRef>
          </c:val>
        </c:ser>
        <c:dLbls>
          <c:showLegendKey val="0"/>
          <c:showVal val="0"/>
          <c:showCatName val="0"/>
          <c:showSerName val="0"/>
          <c:showPercent val="0"/>
          <c:showBubbleSize val="0"/>
        </c:dLbls>
        <c:gapWidth val="150"/>
        <c:axId val="24783104"/>
        <c:axId val="24830336"/>
      </c:barChart>
      <c:catAx>
        <c:axId val="24783104"/>
        <c:scaling>
          <c:orientation val="minMax"/>
        </c:scaling>
        <c:delete val="0"/>
        <c:axPos val="b"/>
        <c:title>
          <c:tx>
            <c:rich>
              <a:bodyPr/>
              <a:lstStyle/>
              <a:p>
                <a:pPr>
                  <a:defRPr/>
                </a:pPr>
                <a:r>
                  <a:rPr lang="en-US"/>
                  <a:t>Type</a:t>
                </a:r>
                <a:r>
                  <a:rPr lang="en-US" baseline="0"/>
                  <a:t> of strategy</a:t>
                </a:r>
                <a:endParaRPr lang="en-US"/>
              </a:p>
            </c:rich>
          </c:tx>
          <c:overlay val="0"/>
        </c:title>
        <c:majorTickMark val="out"/>
        <c:minorTickMark val="none"/>
        <c:tickLblPos val="nextTo"/>
        <c:crossAx val="24830336"/>
        <c:crossesAt val="0"/>
        <c:auto val="1"/>
        <c:lblAlgn val="ctr"/>
        <c:lblOffset val="100"/>
        <c:noMultiLvlLbl val="0"/>
      </c:catAx>
      <c:valAx>
        <c:axId val="24830336"/>
        <c:scaling>
          <c:orientation val="minMax"/>
        </c:scaling>
        <c:delete val="0"/>
        <c:axPos val="l"/>
        <c:majorGridlines/>
        <c:title>
          <c:tx>
            <c:rich>
              <a:bodyPr rot="-5400000" vert="horz"/>
              <a:lstStyle/>
              <a:p>
                <a:pPr>
                  <a:defRPr/>
                </a:pPr>
                <a:r>
                  <a:rPr lang="en-US"/>
                  <a:t>% of counties</a:t>
                </a:r>
              </a:p>
            </c:rich>
          </c:tx>
          <c:overlay val="0"/>
        </c:title>
        <c:numFmt formatCode="0%" sourceLinked="0"/>
        <c:majorTickMark val="out"/>
        <c:minorTickMark val="none"/>
        <c:tickLblPos val="nextTo"/>
        <c:crossAx val="24783104"/>
        <c:crosses val="autoZero"/>
        <c:crossBetween val="between"/>
        <c:maj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92BE27557B340A18A738889A1F1BA" ma:contentTypeVersion="0" ma:contentTypeDescription="Create a new document." ma:contentTypeScope="" ma:versionID="b3f380ff81f51cbb3125447cdebd3d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60F06-8606-44FA-BEFC-754995843C00}">
  <ds:schemaRefs>
    <ds:schemaRef ds:uri="http://schemas.microsoft.com/sharepoint/v3/contenttype/forms"/>
  </ds:schemaRefs>
</ds:datastoreItem>
</file>

<file path=customXml/itemProps2.xml><?xml version="1.0" encoding="utf-8"?>
<ds:datastoreItem xmlns:ds="http://schemas.openxmlformats.org/officeDocument/2006/customXml" ds:itemID="{FA6A5661-6C40-4E87-8CD7-7E608CDC2D2E}">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40A14A9D-D459-453D-AC60-9129AC1DD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CA55DF-CCC0-4AEF-B88F-E2E5310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NYSDOH</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ppl02</dc:creator>
  <cp:lastModifiedBy>mjp15</cp:lastModifiedBy>
  <cp:revision>2</cp:revision>
  <dcterms:created xsi:type="dcterms:W3CDTF">2013-10-21T20:20:00Z</dcterms:created>
  <dcterms:modified xsi:type="dcterms:W3CDTF">2013-10-21T20:20:00Z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0x010100BE192BE27557B340A18A738889A1F1BA</vt:lpwstr>
  </property>
</Properties>
</file>