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0F6D" w14:textId="77777777" w:rsidR="00724BA6" w:rsidRDefault="00724BA6"/>
    <w:tbl>
      <w:tblPr>
        <w:tblStyle w:val="LightShading-Accent2"/>
        <w:tblW w:w="5068" w:type="pct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8"/>
        <w:gridCol w:w="1954"/>
        <w:gridCol w:w="5098"/>
        <w:gridCol w:w="5101"/>
      </w:tblGrid>
      <w:tr w:rsidR="00E25BEE" w:rsidRPr="00E25BEE" w14:paraId="0AEFA455" w14:textId="2881163D" w:rsidTr="0022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14:paraId="7A43BC49" w14:textId="6DAD7D43" w:rsidR="00D360A5" w:rsidRPr="00CB4C62" w:rsidRDefault="00D360A5" w:rsidP="00A2153D">
            <w:pPr>
              <w:pStyle w:val="Default"/>
              <w:jc w:val="center"/>
              <w:rPr>
                <w:rFonts w:ascii="Cambria" w:hAnsi="Cambria"/>
                <w:color w:val="632423" w:themeColor="accent2" w:themeShade="80"/>
                <w:sz w:val="28"/>
                <w:szCs w:val="28"/>
              </w:rPr>
            </w:pPr>
            <w:r w:rsidRPr="00CB4C62">
              <w:rPr>
                <w:rFonts w:ascii="Cambria" w:hAnsi="Cambria"/>
                <w:color w:val="632423" w:themeColor="accent2" w:themeShade="80"/>
                <w:sz w:val="28"/>
                <w:szCs w:val="28"/>
              </w:rPr>
              <w:t>Topic</w:t>
            </w:r>
          </w:p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14:paraId="139B27BF" w14:textId="77777777" w:rsidR="00D360A5" w:rsidRPr="00CB4C62" w:rsidRDefault="00D360A5" w:rsidP="00A2153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632423" w:themeColor="accent2" w:themeShade="80"/>
                <w:sz w:val="28"/>
                <w:szCs w:val="28"/>
              </w:rPr>
            </w:pPr>
            <w:r w:rsidRPr="00CB4C62">
              <w:rPr>
                <w:rFonts w:ascii="Cambria" w:hAnsi="Cambria"/>
                <w:color w:val="632423" w:themeColor="accent2" w:themeShade="80"/>
                <w:sz w:val="28"/>
                <w:szCs w:val="28"/>
              </w:rPr>
              <w:t>Definition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14:paraId="2491DD9D" w14:textId="19B36361" w:rsidR="00D360A5" w:rsidRPr="00CB4C62" w:rsidRDefault="00D360A5" w:rsidP="00A2153D">
            <w:pPr>
              <w:pStyle w:val="Default"/>
              <w:jc w:val="center"/>
              <w:rPr>
                <w:rFonts w:ascii="Cambria" w:hAnsi="Cambria"/>
                <w:bCs/>
                <w:color w:val="632423" w:themeColor="accent2" w:themeShade="80"/>
                <w:sz w:val="28"/>
                <w:szCs w:val="28"/>
              </w:rPr>
            </w:pPr>
            <w:r w:rsidRPr="00CB4C62">
              <w:rPr>
                <w:rFonts w:ascii="Cambria" w:hAnsi="Cambria"/>
                <w:bCs/>
                <w:color w:val="632423" w:themeColor="accent2" w:themeShade="80"/>
                <w:sz w:val="28"/>
                <w:szCs w:val="28"/>
              </w:rPr>
              <w:t>Challenges and Key Questions</w:t>
            </w:r>
          </w:p>
        </w:tc>
        <w:tc>
          <w:tcPr>
            <w:tcW w:w="1840" w:type="pct"/>
            <w:tcBorders>
              <w:left w:val="none" w:sz="0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B3EEF2F" w14:textId="66413DAA" w:rsidR="00D360A5" w:rsidRPr="00CB4C62" w:rsidRDefault="00CD7B5F" w:rsidP="00A2153D">
            <w:pPr>
              <w:pStyle w:val="Default"/>
              <w:ind w:left="392" w:hanging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color w:val="632423" w:themeColor="accent2" w:themeShade="80"/>
                <w:sz w:val="28"/>
                <w:szCs w:val="28"/>
              </w:rPr>
            </w:pPr>
            <w:r w:rsidRPr="00CB4C62">
              <w:rPr>
                <w:rFonts w:ascii="Cambria" w:hAnsi="Cambria"/>
                <w:bCs/>
                <w:color w:val="632423" w:themeColor="accent2" w:themeShade="80"/>
                <w:sz w:val="28"/>
                <w:szCs w:val="28"/>
              </w:rPr>
              <w:t>Strategies</w:t>
            </w:r>
          </w:p>
        </w:tc>
      </w:tr>
      <w:tr w:rsidR="000F3278" w:rsidRPr="006460E8" w14:paraId="7F57DD41" w14:textId="735174CC" w:rsidTr="00222799">
        <w:trPr>
          <w:trHeight w:val="2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gridSpan w:val="2"/>
            <w:shd w:val="clear" w:color="auto" w:fill="943634" w:themeFill="accent2" w:themeFillShade="BF"/>
            <w:vAlign w:val="center"/>
          </w:tcPr>
          <w:p w14:paraId="24A113B1" w14:textId="77777777" w:rsidR="006460E8" w:rsidRPr="00CB4C62" w:rsidRDefault="006460E8" w:rsidP="000F3278">
            <w:pPr>
              <w:pStyle w:val="Default"/>
              <w:rPr>
                <w:rFonts w:ascii="Cambria" w:hAnsi="Cambria"/>
                <w:color w:val="FFFFFF" w:themeColor="background1"/>
                <w:sz w:val="28"/>
              </w:rPr>
            </w:pPr>
            <w:r w:rsidRPr="00CB4C62">
              <w:rPr>
                <w:rFonts w:ascii="Cambria" w:hAnsi="Cambria"/>
                <w:bCs/>
                <w:color w:val="FFFFFF" w:themeColor="background1"/>
                <w:sz w:val="28"/>
              </w:rPr>
              <w:t xml:space="preserve">Data Collection and Integrity </w:t>
            </w:r>
          </w:p>
        </w:tc>
        <w:tc>
          <w:tcPr>
            <w:tcW w:w="705" w:type="pct"/>
            <w:tcBorders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14:paraId="527D4078" w14:textId="11EE1DEF" w:rsidR="006460E8" w:rsidRPr="007205CB" w:rsidRDefault="006460E8" w:rsidP="000F32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943634" w:themeColor="accent2" w:themeShade="BF"/>
                <w:sz w:val="20"/>
                <w:szCs w:val="20"/>
              </w:rPr>
            </w:pPr>
            <w:r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 xml:space="preserve">Collecting data in a consistent, systematic manner: the validity, reliability, and accuracy of </w:t>
            </w:r>
            <w:r w:rsidR="00897534"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>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pct"/>
            <w:tcBorders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09182BE0" w14:textId="051BDF2D" w:rsidR="006460E8" w:rsidRPr="00CB4C62" w:rsidRDefault="006460E8" w:rsidP="00CB4C62">
            <w:pPr>
              <w:pStyle w:val="Default"/>
              <w:spacing w:before="6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When can you ensure </w:t>
            </w:r>
            <w:r w:rsidR="00ED7DE4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respondents</w:t>
            </w:r>
            <w:r w:rsidR="00E96AC4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’</w:t>
            </w:r>
            <w:r w:rsidR="00ED7DE4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</w:t>
            </w: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anonymity versus </w:t>
            </w:r>
            <w:r w:rsidR="00E96AC4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that their responses will be kept </w:t>
            </w: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con</w:t>
            </w:r>
            <w:bookmarkStart w:id="0" w:name="_GoBack"/>
            <w:bookmarkEnd w:id="0"/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fidential?</w:t>
            </w:r>
          </w:p>
        </w:tc>
        <w:tc>
          <w:tcPr>
            <w:tcW w:w="1840" w:type="pct"/>
            <w:tcBorders>
              <w:left w:val="single" w:sz="4" w:space="0" w:color="auto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16308C3B" w14:textId="12D238C5" w:rsidR="006460E8" w:rsidRPr="00A2153D" w:rsidRDefault="006460E8" w:rsidP="00CB4C62">
            <w:pPr>
              <w:pStyle w:val="Default"/>
              <w:numPr>
                <w:ilvl w:val="0"/>
                <w:numId w:val="4"/>
              </w:numPr>
              <w:spacing w:before="60"/>
              <w:ind w:left="39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Evaluation participants are informed of their rights as human subjects</w:t>
            </w:r>
          </w:p>
          <w:p w14:paraId="16FA98A5" w14:textId="67932DA2" w:rsidR="006460E8" w:rsidRPr="00A2153D" w:rsidRDefault="006460E8" w:rsidP="00CB4C62">
            <w:pPr>
              <w:pStyle w:val="Default"/>
              <w:numPr>
                <w:ilvl w:val="0"/>
                <w:numId w:val="4"/>
              </w:numPr>
              <w:spacing w:before="60"/>
              <w:ind w:left="39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Online surveys have less data entry</w:t>
            </w:r>
            <w:r w:rsidR="00CD7B5F"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error</w:t>
            </w:r>
            <w:r w:rsidR="000F3278"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, </w:t>
            </w:r>
            <w:r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control over required questions/choose-one questions</w:t>
            </w:r>
          </w:p>
        </w:tc>
      </w:tr>
      <w:tr w:rsidR="000F3278" w:rsidRPr="006460E8" w14:paraId="28AB9E77" w14:textId="26BEA006" w:rsidTr="0022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14:paraId="68CFFF3F" w14:textId="2E571733" w:rsidR="006460E8" w:rsidRPr="00CB4C62" w:rsidRDefault="006460E8" w:rsidP="000F3278">
            <w:pPr>
              <w:pStyle w:val="Default"/>
              <w:rPr>
                <w:rFonts w:ascii="Cambria" w:hAnsi="Cambria"/>
                <w:color w:val="FFFFFF" w:themeColor="background1"/>
                <w:sz w:val="28"/>
              </w:rPr>
            </w:pPr>
            <w:r w:rsidRPr="00CB4C62">
              <w:rPr>
                <w:rFonts w:ascii="Cambria" w:hAnsi="Cambria"/>
                <w:bCs/>
                <w:color w:val="FFFFFF" w:themeColor="background1"/>
                <w:sz w:val="28"/>
              </w:rPr>
              <w:t>Data Storage, Protection</w:t>
            </w:r>
            <w:r w:rsidR="000F3278" w:rsidRPr="00CB4C62">
              <w:rPr>
                <w:rFonts w:ascii="Cambria" w:hAnsi="Cambria"/>
                <w:bCs/>
                <w:color w:val="FFFFFF" w:themeColor="background1"/>
                <w:sz w:val="28"/>
              </w:rPr>
              <w:t>,</w:t>
            </w:r>
            <w:r w:rsidRPr="00CB4C62">
              <w:rPr>
                <w:rFonts w:ascii="Cambria" w:hAnsi="Cambria"/>
                <w:bCs/>
                <w:color w:val="FFFFFF" w:themeColor="background1"/>
                <w:sz w:val="28"/>
              </w:rPr>
              <w:t xml:space="preserve"> and Retention</w:t>
            </w:r>
          </w:p>
        </w:tc>
        <w:tc>
          <w:tcPr>
            <w:tcW w:w="705" w:type="pct"/>
            <w:tcBorders>
              <w:top w:val="single" w:sz="4" w:space="0" w:color="632423" w:themeColor="accent2" w:themeShade="80"/>
              <w:left w:val="none" w:sz="0" w:space="0" w:color="auto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14:paraId="0E7FFED0" w14:textId="2FF9284E" w:rsidR="006460E8" w:rsidRPr="007205CB" w:rsidRDefault="006460E8" w:rsidP="000F327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943634" w:themeColor="accent2" w:themeShade="BF"/>
                <w:sz w:val="20"/>
                <w:szCs w:val="20"/>
              </w:rPr>
            </w:pPr>
            <w:r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>The amount of data to store; Protecting data from physical damage and tampering; Length of time to keep data and ho</w:t>
            </w:r>
            <w:r w:rsidR="00897534"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>w to secure destruction of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6144D4FB" w14:textId="05695C7B" w:rsidR="006460E8" w:rsidRPr="00CB4C62" w:rsidRDefault="00E25BEE" w:rsidP="00CB4C62">
            <w:pPr>
              <w:pStyle w:val="Default"/>
              <w:spacing w:before="6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How are </w:t>
            </w:r>
            <w:r w:rsidR="00ED7DE4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paper and electronic</w:t>
            </w: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data stored</w:t>
            </w:r>
            <w:r w:rsidR="00ED7DE4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and</w:t>
            </w:r>
            <w:r w:rsidR="00E96AC4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</w:t>
            </w: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protected? </w:t>
            </w:r>
          </w:p>
        </w:tc>
        <w:tc>
          <w:tcPr>
            <w:tcW w:w="1840" w:type="pct"/>
            <w:tcBorders>
              <w:top w:val="single" w:sz="4" w:space="0" w:color="632423" w:themeColor="accent2" w:themeShade="80"/>
              <w:left w:val="single" w:sz="4" w:space="0" w:color="auto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33AB5BB7" w14:textId="77777777" w:rsidR="006460E8" w:rsidRPr="00A2153D" w:rsidRDefault="006460E8" w:rsidP="00CB4C62">
            <w:pPr>
              <w:pStyle w:val="Default"/>
              <w:numPr>
                <w:ilvl w:val="0"/>
                <w:numId w:val="4"/>
              </w:numPr>
              <w:spacing w:before="60"/>
              <w:ind w:left="39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Store electronic data in at least two different locations</w:t>
            </w:r>
          </w:p>
          <w:p w14:paraId="7A0DD4DA" w14:textId="5FD6DEB9" w:rsidR="006460E8" w:rsidRPr="00A2153D" w:rsidRDefault="006460E8" w:rsidP="00CB4C62">
            <w:pPr>
              <w:pStyle w:val="Default"/>
              <w:numPr>
                <w:ilvl w:val="0"/>
                <w:numId w:val="4"/>
              </w:numPr>
              <w:spacing w:before="60"/>
              <w:ind w:left="39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Ensure long-term software readability</w:t>
            </w:r>
          </w:p>
        </w:tc>
      </w:tr>
      <w:tr w:rsidR="000F3278" w:rsidRPr="006460E8" w14:paraId="5B7AE04E" w14:textId="7FABA4C1" w:rsidTr="00222799">
        <w:trPr>
          <w:trHeight w:val="2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gridSpan w:val="2"/>
            <w:shd w:val="clear" w:color="auto" w:fill="943634" w:themeFill="accent2" w:themeFillShade="BF"/>
            <w:vAlign w:val="center"/>
          </w:tcPr>
          <w:p w14:paraId="5AEB09AE" w14:textId="4FEA565E" w:rsidR="006460E8" w:rsidRPr="00CB4C62" w:rsidRDefault="006460E8" w:rsidP="000F3278">
            <w:pPr>
              <w:pStyle w:val="Default"/>
              <w:rPr>
                <w:rFonts w:ascii="Cambria" w:hAnsi="Cambria"/>
                <w:color w:val="FFFFFF" w:themeColor="background1"/>
                <w:sz w:val="28"/>
              </w:rPr>
            </w:pPr>
            <w:r w:rsidRPr="00CB4C62">
              <w:rPr>
                <w:rFonts w:ascii="Cambria" w:hAnsi="Cambria"/>
                <w:bCs/>
                <w:color w:val="FFFFFF" w:themeColor="background1"/>
                <w:sz w:val="28"/>
              </w:rPr>
              <w:t xml:space="preserve">Data Processing and Analysis </w:t>
            </w:r>
          </w:p>
        </w:tc>
        <w:tc>
          <w:tcPr>
            <w:tcW w:w="705" w:type="pct"/>
            <w:tcBorders>
              <w:top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14:paraId="05DF38DF" w14:textId="08B9C707" w:rsidR="006460E8" w:rsidRPr="007205CB" w:rsidRDefault="006460E8" w:rsidP="000F32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943634" w:themeColor="accent2" w:themeShade="BF"/>
                <w:sz w:val="20"/>
                <w:szCs w:val="20"/>
              </w:rPr>
            </w:pPr>
            <w:r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>How raw data are chosen, evaluated, and interpreted into meaningful and significant conclusions that</w:t>
            </w:r>
            <w:r w:rsidR="00897534"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 xml:space="preserve"> others can understand and 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05C11623" w14:textId="1E7F6691" w:rsidR="006460E8" w:rsidRPr="00CB4C62" w:rsidRDefault="006460E8" w:rsidP="00CB4C62">
            <w:pPr>
              <w:pStyle w:val="Default"/>
              <w:spacing w:before="6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Under what conditions might you amend or exclude data?</w:t>
            </w:r>
          </w:p>
        </w:tc>
        <w:tc>
          <w:tcPr>
            <w:tcW w:w="1840" w:type="pct"/>
            <w:tcBorders>
              <w:top w:val="single" w:sz="4" w:space="0" w:color="632423" w:themeColor="accent2" w:themeShade="80"/>
              <w:left w:val="single" w:sz="4" w:space="0" w:color="auto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76DC802A" w14:textId="08736AE0" w:rsidR="006460E8" w:rsidRPr="00A2153D" w:rsidRDefault="006460E8" w:rsidP="00CB4C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9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</w:pPr>
            <w:r w:rsidRPr="00A2153D"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  <w:t>Analyses accurately represent what occurred as part of the study</w:t>
            </w:r>
            <w:r w:rsidR="00CD7B5F" w:rsidRPr="00A2153D"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  <w:t>,</w:t>
            </w:r>
            <w:r w:rsidRPr="00A2153D"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  <w:t xml:space="preserve"> </w:t>
            </w:r>
            <w:r w:rsidR="00E96AC4"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  <w:t>do</w:t>
            </w:r>
            <w:r w:rsidR="00E96AC4" w:rsidRPr="00A2153D"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  <w:t xml:space="preserve"> </w:t>
            </w:r>
            <w:r w:rsidRPr="00A2153D"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  <w:t xml:space="preserve">not overstate the data's importance, and </w:t>
            </w:r>
            <w:r w:rsidR="00E96AC4"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  <w:t>do</w:t>
            </w:r>
            <w:r w:rsidR="00E96AC4" w:rsidRPr="00A2153D"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  <w:t xml:space="preserve"> </w:t>
            </w:r>
            <w:r w:rsidRPr="00A2153D"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  <w:t>not trim data</w:t>
            </w:r>
          </w:p>
        </w:tc>
      </w:tr>
      <w:tr w:rsidR="000F3278" w:rsidRPr="006460E8" w14:paraId="7FD6F256" w14:textId="77777777" w:rsidTr="0022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14:paraId="731D2671" w14:textId="77777777" w:rsidR="0088445A" w:rsidRPr="00CB4C62" w:rsidRDefault="0088445A" w:rsidP="000F3278">
            <w:pPr>
              <w:pStyle w:val="Default"/>
              <w:rPr>
                <w:rFonts w:ascii="Cambria" w:hAnsi="Cambria"/>
                <w:color w:val="FFFFFF" w:themeColor="background1"/>
                <w:sz w:val="28"/>
              </w:rPr>
            </w:pPr>
            <w:r w:rsidRPr="00CB4C62">
              <w:rPr>
                <w:rFonts w:ascii="Cambria" w:hAnsi="Cambria"/>
                <w:bCs/>
                <w:color w:val="FFFFFF" w:themeColor="background1"/>
                <w:sz w:val="28"/>
              </w:rPr>
              <w:t xml:space="preserve">Ownership  of Data </w:t>
            </w:r>
          </w:p>
        </w:tc>
        <w:tc>
          <w:tcPr>
            <w:tcW w:w="705" w:type="pct"/>
            <w:tcBorders>
              <w:top w:val="single" w:sz="4" w:space="0" w:color="632423" w:themeColor="accent2" w:themeShade="80"/>
              <w:left w:val="none" w:sz="0" w:space="0" w:color="auto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14:paraId="4058AC78" w14:textId="15519B5A" w:rsidR="0088445A" w:rsidRPr="007205CB" w:rsidRDefault="0088445A" w:rsidP="000F327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943634" w:themeColor="accent2" w:themeShade="BF"/>
                <w:sz w:val="20"/>
                <w:szCs w:val="20"/>
              </w:rPr>
            </w:pPr>
            <w:r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>With whom the data resides and who is responsible for its security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pc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6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24DD5555" w14:textId="47D87BF3" w:rsidR="0088445A" w:rsidRPr="00CB4C62" w:rsidRDefault="0088445A" w:rsidP="00CB4C62">
            <w:pPr>
              <w:pStyle w:val="Default"/>
              <w:spacing w:before="6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Who has the legal rights to the data and who retains the data after the project ends?</w:t>
            </w:r>
          </w:p>
        </w:tc>
        <w:tc>
          <w:tcPr>
            <w:tcW w:w="1840" w:type="pct"/>
            <w:tcBorders>
              <w:top w:val="single" w:sz="4" w:space="0" w:color="632423" w:themeColor="accent2" w:themeShade="80"/>
              <w:left w:val="single" w:sz="4" w:space="0" w:color="auto"/>
              <w:bottom w:val="single" w:sz="6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5A1F5A45" w14:textId="06D1AC24" w:rsidR="0088445A" w:rsidRPr="00A2153D" w:rsidRDefault="0088445A" w:rsidP="00CB4C62">
            <w:pPr>
              <w:pStyle w:val="Default"/>
              <w:numPr>
                <w:ilvl w:val="0"/>
                <w:numId w:val="4"/>
              </w:numPr>
              <w:spacing w:before="60"/>
              <w:ind w:left="39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Clearly stat</w:t>
            </w:r>
            <w:r w:rsidR="00ED7DE4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e</w:t>
            </w:r>
            <w:r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who owns the data at the beginning of a project</w:t>
            </w:r>
          </w:p>
        </w:tc>
      </w:tr>
      <w:tr w:rsidR="00A2153D" w:rsidRPr="006460E8" w14:paraId="6DD9DF88" w14:textId="632EAE89" w:rsidTr="00222799">
        <w:trPr>
          <w:trHeight w:val="2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shd w:val="clear" w:color="auto" w:fill="943634" w:themeFill="accent2" w:themeFillShade="BF"/>
            <w:vAlign w:val="center"/>
          </w:tcPr>
          <w:p w14:paraId="156E0265" w14:textId="77777777" w:rsidR="00A32FD4" w:rsidRPr="00CB4C62" w:rsidRDefault="00A32FD4" w:rsidP="000F3278">
            <w:pPr>
              <w:pStyle w:val="Default"/>
              <w:rPr>
                <w:rFonts w:ascii="Cambria" w:hAnsi="Cambria"/>
                <w:color w:val="FFFFFF" w:themeColor="background1"/>
                <w:sz w:val="28"/>
              </w:rPr>
            </w:pPr>
            <w:r w:rsidRPr="00CB4C62">
              <w:rPr>
                <w:rFonts w:ascii="Cambria" w:hAnsi="Cambria"/>
                <w:bCs/>
                <w:color w:val="FFFFFF" w:themeColor="background1"/>
                <w:sz w:val="28"/>
              </w:rPr>
              <w:t xml:space="preserve">Data Reporting </w:t>
            </w:r>
          </w:p>
        </w:tc>
        <w:tc>
          <w:tcPr>
            <w:tcW w:w="708" w:type="pct"/>
            <w:gridSpan w:val="2"/>
            <w:tcBorders>
              <w:top w:val="single" w:sz="6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14:paraId="0C310039" w14:textId="7676B7EA" w:rsidR="00A32FD4" w:rsidRPr="007205CB" w:rsidRDefault="00A32FD4" w:rsidP="000F32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943634" w:themeColor="accent2" w:themeShade="BF"/>
                <w:sz w:val="20"/>
                <w:szCs w:val="20"/>
              </w:rPr>
            </w:pPr>
            <w:r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>The publication of conclusive findings, both positive and negative,</w:t>
            </w:r>
            <w:r w:rsidR="00897534"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 xml:space="preserve"> after the project is completed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pct"/>
            <w:tcBorders>
              <w:top w:val="single" w:sz="6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2D301D30" w14:textId="77777777" w:rsidR="00ED7DE4" w:rsidRDefault="00784CD0" w:rsidP="00CB4C62">
            <w:pPr>
              <w:pStyle w:val="Default"/>
              <w:spacing w:before="60"/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</w:pPr>
            <w:r w:rsidRPr="00CB4C62"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  <w:t xml:space="preserve">Is it okay to disseminate data tables or reports beyond the client? </w:t>
            </w:r>
          </w:p>
          <w:p w14:paraId="160306E7" w14:textId="29DC7EEC" w:rsidR="00784CD0" w:rsidRPr="00CB4C62" w:rsidRDefault="00784CD0" w:rsidP="00CB4C62">
            <w:pPr>
              <w:pStyle w:val="Default"/>
              <w:spacing w:before="60"/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</w:pPr>
            <w:r w:rsidRPr="00CB4C62">
              <w:rPr>
                <w:rFonts w:ascii="Franklin Gothic Book" w:eastAsia="Adobe Heiti Std R" w:hAnsi="Franklin Gothic Book" w:cstheme="minorHAnsi"/>
                <w:i/>
                <w:color w:val="632423" w:themeColor="accent2" w:themeShade="80"/>
                <w:sz w:val="18"/>
                <w:szCs w:val="18"/>
              </w:rPr>
              <w:t>How can or should an evaluator work to prevent or correct misuse of their work by others?</w:t>
            </w:r>
          </w:p>
          <w:p w14:paraId="5A724BFC" w14:textId="746FA032" w:rsidR="00784CD0" w:rsidRPr="00CB4C62" w:rsidRDefault="00784CD0" w:rsidP="00CB4C62">
            <w:pPr>
              <w:pStyle w:val="Default"/>
              <w:spacing w:before="6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840" w:type="pct"/>
            <w:tcBorders>
              <w:top w:val="single" w:sz="6" w:space="0" w:color="632423" w:themeColor="accent2" w:themeShade="80"/>
              <w:left w:val="single" w:sz="4" w:space="0" w:color="auto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4D377D13" w14:textId="34C71532" w:rsidR="00E25BEE" w:rsidRPr="00A2153D" w:rsidRDefault="00E25BEE" w:rsidP="00CB4C62">
            <w:pPr>
              <w:pStyle w:val="Default"/>
              <w:numPr>
                <w:ilvl w:val="0"/>
                <w:numId w:val="4"/>
              </w:numPr>
              <w:spacing w:before="60"/>
              <w:ind w:left="38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Receive client permission before presenting or disseminating results</w:t>
            </w:r>
          </w:p>
          <w:p w14:paraId="10EAB32F" w14:textId="06846EF1" w:rsidR="00A32FD4" w:rsidRPr="00A2153D" w:rsidRDefault="00E25BEE" w:rsidP="00CB4C62">
            <w:pPr>
              <w:pStyle w:val="Default"/>
              <w:numPr>
                <w:ilvl w:val="0"/>
                <w:numId w:val="4"/>
              </w:numPr>
              <w:spacing w:before="60"/>
              <w:ind w:left="39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Establish reporting guidelines for both client and evaluator at the beginning of a project</w:t>
            </w:r>
          </w:p>
        </w:tc>
      </w:tr>
      <w:tr w:rsidR="000F3278" w:rsidRPr="006460E8" w14:paraId="3345276A" w14:textId="77777777" w:rsidTr="0022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gridSpan w:val="2"/>
            <w:shd w:val="clear" w:color="auto" w:fill="943634" w:themeFill="accent2" w:themeFillShade="BF"/>
            <w:vAlign w:val="center"/>
          </w:tcPr>
          <w:p w14:paraId="4A17F3D1" w14:textId="77777777" w:rsidR="000F3278" w:rsidRPr="00CB4C62" w:rsidRDefault="0088445A" w:rsidP="000F3278">
            <w:pPr>
              <w:pStyle w:val="Default"/>
              <w:rPr>
                <w:rFonts w:ascii="Cambria" w:hAnsi="Cambria"/>
                <w:bCs/>
                <w:color w:val="FFFFFF" w:themeColor="background1"/>
                <w:sz w:val="28"/>
              </w:rPr>
            </w:pPr>
            <w:r w:rsidRPr="00CB4C62">
              <w:rPr>
                <w:rFonts w:ascii="Cambria" w:hAnsi="Cambria"/>
                <w:bCs/>
                <w:color w:val="FFFFFF" w:themeColor="background1"/>
                <w:sz w:val="28"/>
              </w:rPr>
              <w:t xml:space="preserve">Data </w:t>
            </w:r>
          </w:p>
          <w:p w14:paraId="08133CF6" w14:textId="13F1625C" w:rsidR="0088445A" w:rsidRPr="00CB4C62" w:rsidRDefault="0088445A" w:rsidP="000F3278">
            <w:pPr>
              <w:pStyle w:val="Default"/>
              <w:rPr>
                <w:rFonts w:ascii="Cambria" w:hAnsi="Cambria"/>
                <w:color w:val="FFFFFF" w:themeColor="background1"/>
                <w:sz w:val="28"/>
              </w:rPr>
            </w:pPr>
            <w:r w:rsidRPr="00CB4C62">
              <w:rPr>
                <w:rFonts w:ascii="Cambria" w:hAnsi="Cambria"/>
                <w:bCs/>
                <w:color w:val="FFFFFF" w:themeColor="background1"/>
                <w:sz w:val="28"/>
              </w:rPr>
              <w:t xml:space="preserve">Sharing </w:t>
            </w:r>
          </w:p>
        </w:tc>
        <w:tc>
          <w:tcPr>
            <w:tcW w:w="705" w:type="pct"/>
            <w:tcBorders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14:paraId="65166CF3" w14:textId="4CF4E14C" w:rsidR="0088445A" w:rsidRPr="007205CB" w:rsidRDefault="00784CD0" w:rsidP="000F327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943634" w:themeColor="accent2" w:themeShade="BF"/>
                <w:sz w:val="20"/>
                <w:szCs w:val="20"/>
              </w:rPr>
            </w:pPr>
            <w:r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 xml:space="preserve">How data </w:t>
            </w:r>
            <w:r w:rsidR="0088445A"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>are disseminated to others, and</w:t>
            </w:r>
            <w:r w:rsidR="00897534"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 xml:space="preserve"> when data should not be shared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pct"/>
            <w:tcBorders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5740C578" w14:textId="77777777" w:rsidR="001E1C7E" w:rsidRDefault="0088445A" w:rsidP="00CB4C62">
            <w:pPr>
              <w:pStyle w:val="Default"/>
              <w:spacing w:before="6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What if the data are collected by clients?</w:t>
            </w:r>
            <w:r w:rsidR="00784CD0"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14:paraId="285EA056" w14:textId="6AE471D2" w:rsidR="0088445A" w:rsidRPr="00CB4C62" w:rsidRDefault="00784CD0" w:rsidP="00CB4C62">
            <w:pPr>
              <w:pStyle w:val="Default"/>
              <w:spacing w:before="6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How </w:t>
            </w:r>
            <w:r w:rsidR="009A471A"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are</w:t>
            </w: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data shared</w:t>
            </w:r>
            <w:r w:rsidR="001E1C7E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with non-clients</w:t>
            </w: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?</w:t>
            </w:r>
          </w:p>
        </w:tc>
        <w:tc>
          <w:tcPr>
            <w:tcW w:w="1840" w:type="pct"/>
            <w:tcBorders>
              <w:left w:val="single" w:sz="4" w:space="0" w:color="auto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7F0491B3" w14:textId="7351454E" w:rsidR="00CF4327" w:rsidRDefault="00CF4327" w:rsidP="00CB4C62">
            <w:pPr>
              <w:pStyle w:val="Default"/>
              <w:numPr>
                <w:ilvl w:val="0"/>
                <w:numId w:val="4"/>
              </w:numPr>
              <w:spacing w:before="60"/>
              <w:ind w:left="39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Establish guidelines for collecting data that protect stakeholders</w:t>
            </w:r>
          </w:p>
          <w:p w14:paraId="5139D8F6" w14:textId="1EA019A5" w:rsidR="0088445A" w:rsidRPr="00A2153D" w:rsidRDefault="0088445A" w:rsidP="00CB4C62">
            <w:pPr>
              <w:pStyle w:val="Default"/>
              <w:numPr>
                <w:ilvl w:val="0"/>
                <w:numId w:val="4"/>
              </w:numPr>
              <w:spacing w:before="60"/>
              <w:ind w:left="39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Ask client permission before </w:t>
            </w:r>
            <w:r w:rsidR="00E25BEE"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sharing</w:t>
            </w:r>
            <w:r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</w:t>
            </w:r>
            <w:r w:rsidR="00E25BEE"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data – be clear about format of shared data (no identifying data)</w:t>
            </w:r>
          </w:p>
        </w:tc>
      </w:tr>
      <w:tr w:rsidR="00A2153D" w:rsidRPr="006460E8" w14:paraId="753A7A22" w14:textId="77777777" w:rsidTr="00222799">
        <w:trPr>
          <w:trHeight w:val="2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shd w:val="clear" w:color="auto" w:fill="943634" w:themeFill="accent2" w:themeFillShade="BF"/>
            <w:vAlign w:val="center"/>
          </w:tcPr>
          <w:p w14:paraId="76AA573E" w14:textId="6D567A28" w:rsidR="00A32FD4" w:rsidRPr="00CB4C62" w:rsidRDefault="00A32FD4" w:rsidP="000F3278">
            <w:pPr>
              <w:pStyle w:val="Default"/>
              <w:rPr>
                <w:rFonts w:ascii="Cambria" w:hAnsi="Cambria"/>
                <w:color w:val="FFFFFF" w:themeColor="background1"/>
                <w:sz w:val="28"/>
              </w:rPr>
            </w:pPr>
            <w:r w:rsidRPr="00CB4C62">
              <w:rPr>
                <w:rFonts w:ascii="Cambria" w:hAnsi="Cambria"/>
                <w:color w:val="FFFFFF" w:themeColor="background1"/>
                <w:sz w:val="28"/>
              </w:rPr>
              <w:t>Other</w:t>
            </w:r>
          </w:p>
        </w:tc>
        <w:tc>
          <w:tcPr>
            <w:tcW w:w="708" w:type="pct"/>
            <w:gridSpan w:val="2"/>
            <w:tcBorders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14:paraId="7163DD7F" w14:textId="3CED4E41" w:rsidR="00A32FD4" w:rsidRPr="007205CB" w:rsidRDefault="00CD7B5F" w:rsidP="000F327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943634" w:themeColor="accent2" w:themeShade="BF"/>
                <w:sz w:val="20"/>
                <w:szCs w:val="20"/>
              </w:rPr>
            </w:pPr>
            <w:r w:rsidRPr="007205CB">
              <w:rPr>
                <w:rFonts w:ascii="Cambria" w:hAnsi="Cambria"/>
                <w:color w:val="943634" w:themeColor="accent2" w:themeShade="BF"/>
                <w:sz w:val="20"/>
                <w:szCs w:val="20"/>
              </w:rPr>
              <w:t>Other data governance challenges and strategies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pct"/>
            <w:tcBorders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0AFDFE54" w14:textId="77777777" w:rsidR="00ED7DE4" w:rsidRDefault="00A32FD4" w:rsidP="00CB4C62">
            <w:pPr>
              <w:spacing w:before="6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Are there exceptions</w:t>
            </w:r>
            <w:r w:rsidR="00E25BEE"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</w:t>
            </w: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to data governance </w:t>
            </w:r>
            <w:r w:rsidR="00784CD0"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policies</w:t>
            </w: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, and if so, what are they? </w:t>
            </w:r>
          </w:p>
          <w:p w14:paraId="385E88FA" w14:textId="010F63A1" w:rsidR="00A32FD4" w:rsidRPr="00CB4C62" w:rsidRDefault="009A471A" w:rsidP="00CB4C62">
            <w:pPr>
              <w:spacing w:before="6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How </w:t>
            </w:r>
            <w:r w:rsidR="004E0E21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are</w:t>
            </w: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new staff </w:t>
            </w:r>
            <w:r w:rsidR="004E0E21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members </w:t>
            </w:r>
            <w:r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trained?</w:t>
            </w:r>
          </w:p>
          <w:p w14:paraId="1F354F51" w14:textId="77777777" w:rsidR="00A32FD4" w:rsidRPr="00CB4C62" w:rsidRDefault="00A32FD4" w:rsidP="00CB4C62">
            <w:pPr>
              <w:spacing w:before="6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840" w:type="pct"/>
            <w:tcBorders>
              <w:left w:val="single" w:sz="4" w:space="0" w:color="auto"/>
              <w:bottom w:val="single" w:sz="4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5B30ABC5" w14:textId="16178CBE" w:rsidR="00ED7DE4" w:rsidRPr="00CB4C62" w:rsidRDefault="004E0E21" w:rsidP="00CB4C62">
            <w:pPr>
              <w:pStyle w:val="Default"/>
              <w:numPr>
                <w:ilvl w:val="0"/>
                <w:numId w:val="4"/>
              </w:numPr>
              <w:spacing w:before="60"/>
              <w:ind w:left="38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E</w:t>
            </w:r>
            <w:r w:rsidR="00E25BEE" w:rsidRPr="00A2153D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stablish a data governance committee</w:t>
            </w:r>
            <w:r w:rsid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and r</w:t>
            </w:r>
            <w:r w:rsidR="00ED7DE4" w:rsidRP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>eview</w:t>
            </w:r>
            <w:r w:rsidR="00CB4C62">
              <w:rPr>
                <w:rFonts w:ascii="Franklin Gothic Book" w:eastAsia="Adobe Heiti Std R" w:hAnsi="Franklin Gothic Book"/>
                <w:i/>
                <w:color w:val="632423" w:themeColor="accent2" w:themeShade="80"/>
                <w:sz w:val="18"/>
                <w:szCs w:val="18"/>
              </w:rPr>
              <w:t xml:space="preserve"> data governance plans annually</w:t>
            </w:r>
          </w:p>
        </w:tc>
      </w:tr>
    </w:tbl>
    <w:p w14:paraId="5A614E34" w14:textId="6EC1F800" w:rsidR="004F69CF" w:rsidRPr="009B14AA" w:rsidRDefault="004F69CF">
      <w:pPr>
        <w:rPr>
          <w:color w:val="632423" w:themeColor="accent2" w:themeShade="80"/>
        </w:rPr>
      </w:pPr>
    </w:p>
    <w:p w14:paraId="541BE572" w14:textId="77777777" w:rsidR="008B061B" w:rsidRPr="009B14AA" w:rsidRDefault="008B061B" w:rsidP="008B061B">
      <w:pPr>
        <w:rPr>
          <w:rFonts w:ascii="Cambria" w:hAnsi="Cambria"/>
          <w:b/>
          <w:i/>
          <w:color w:val="632423" w:themeColor="accent2" w:themeShade="80"/>
          <w:sz w:val="28"/>
          <w:szCs w:val="28"/>
        </w:rPr>
      </w:pPr>
      <w:r w:rsidRPr="009B14AA">
        <w:rPr>
          <w:rFonts w:ascii="Cambria" w:hAnsi="Cambria"/>
          <w:b/>
          <w:i/>
          <w:color w:val="632423" w:themeColor="accent2" w:themeShade="80"/>
          <w:sz w:val="28"/>
          <w:szCs w:val="28"/>
        </w:rPr>
        <w:t>Resources</w:t>
      </w:r>
    </w:p>
    <w:p w14:paraId="1AA3EC66" w14:textId="77777777" w:rsidR="004A7C71" w:rsidRDefault="004A7C71" w:rsidP="004A7C71">
      <w:pPr>
        <w:rPr>
          <w:rFonts w:ascii="Cambria" w:hAnsi="Cambria"/>
          <w:color w:val="632423" w:themeColor="accent2" w:themeShade="80"/>
          <w:sz w:val="22"/>
          <w:szCs w:val="22"/>
        </w:rPr>
      </w:pPr>
      <w:r w:rsidRPr="00CB4C62">
        <w:rPr>
          <w:rFonts w:ascii="Cambria" w:hAnsi="Cambria"/>
          <w:color w:val="632423" w:themeColor="accent2" w:themeShade="80"/>
          <w:sz w:val="22"/>
          <w:szCs w:val="22"/>
        </w:rPr>
        <w:t>Many University Institutional Review Boards have sample policies</w:t>
      </w:r>
    </w:p>
    <w:p w14:paraId="300C3305" w14:textId="1D572DFD" w:rsidR="00AE29BC" w:rsidRDefault="00AE29BC" w:rsidP="004A7C71">
      <w:pPr>
        <w:rPr>
          <w:rFonts w:ascii="Cambria" w:hAnsi="Cambria"/>
          <w:color w:val="632423" w:themeColor="accent2" w:themeShade="80"/>
          <w:sz w:val="22"/>
          <w:szCs w:val="22"/>
        </w:rPr>
      </w:pPr>
      <w:r>
        <w:rPr>
          <w:rFonts w:ascii="Cambria" w:hAnsi="Cambria"/>
          <w:color w:val="632423" w:themeColor="accent2" w:themeShade="80"/>
          <w:sz w:val="22"/>
          <w:szCs w:val="22"/>
        </w:rPr>
        <w:lastRenderedPageBreak/>
        <w:t xml:space="preserve">Search AEA’s 365| A Tip-a- Day by and for Evaluators: </w:t>
      </w:r>
      <w:hyperlink r:id="rId11" w:history="1">
        <w:r w:rsidRPr="00AE29BC">
          <w:rPr>
            <w:rStyle w:val="Hyperlink"/>
            <w:rFonts w:ascii="Cambria" w:hAnsi="Cambria"/>
            <w:color w:val="632423" w:themeColor="accent2" w:themeShade="80"/>
            <w:sz w:val="22"/>
            <w:szCs w:val="22"/>
          </w:rPr>
          <w:t>http://aea365.org/blog/</w:t>
        </w:r>
      </w:hyperlink>
      <w:r w:rsidRPr="00AE29BC">
        <w:rPr>
          <w:rFonts w:ascii="Cambria" w:hAnsi="Cambria"/>
          <w:color w:val="632423" w:themeColor="accent2" w:themeShade="80"/>
          <w:sz w:val="22"/>
          <w:szCs w:val="22"/>
        </w:rPr>
        <w:t xml:space="preserve"> </w:t>
      </w:r>
    </w:p>
    <w:p w14:paraId="1C995B28" w14:textId="1F7AF18A" w:rsidR="00194393" w:rsidRPr="00CB4C62" w:rsidRDefault="00194393">
      <w:pPr>
        <w:rPr>
          <w:rFonts w:ascii="Cambria" w:hAnsi="Cambria"/>
          <w:color w:val="632423" w:themeColor="accent2" w:themeShade="80"/>
          <w:sz w:val="22"/>
          <w:szCs w:val="22"/>
        </w:rPr>
      </w:pPr>
      <w:r w:rsidRPr="00CB4C62">
        <w:rPr>
          <w:rFonts w:ascii="Cambria" w:hAnsi="Cambria"/>
          <w:color w:val="632423" w:themeColor="accent2" w:themeShade="80"/>
          <w:sz w:val="22"/>
          <w:szCs w:val="22"/>
        </w:rPr>
        <w:t xml:space="preserve">Data Governance Institute: </w:t>
      </w:r>
      <w:hyperlink r:id="rId12" w:history="1">
        <w:r w:rsidRPr="00CB4C62">
          <w:rPr>
            <w:rStyle w:val="Hyperlink"/>
            <w:rFonts w:ascii="Cambria" w:hAnsi="Cambria"/>
            <w:color w:val="632423" w:themeColor="accent2" w:themeShade="80"/>
            <w:sz w:val="22"/>
            <w:szCs w:val="22"/>
          </w:rPr>
          <w:t>http://www.datagovernance.com/</w:t>
        </w:r>
      </w:hyperlink>
    </w:p>
    <w:p w14:paraId="0F588941" w14:textId="7D3F38A0" w:rsidR="00194393" w:rsidRPr="00CB4C62" w:rsidRDefault="00194393">
      <w:pPr>
        <w:rPr>
          <w:rFonts w:ascii="Cambria" w:hAnsi="Cambria"/>
          <w:color w:val="632423" w:themeColor="accent2" w:themeShade="80"/>
          <w:sz w:val="22"/>
          <w:szCs w:val="22"/>
        </w:rPr>
      </w:pPr>
      <w:r w:rsidRPr="00CB4C62">
        <w:rPr>
          <w:rFonts w:ascii="Cambria" w:hAnsi="Cambria"/>
          <w:color w:val="632423" w:themeColor="accent2" w:themeShade="80"/>
          <w:sz w:val="22"/>
          <w:szCs w:val="22"/>
        </w:rPr>
        <w:t xml:space="preserve">IBM Data Governance Council: </w:t>
      </w:r>
      <w:hyperlink r:id="rId13" w:history="1">
        <w:r w:rsidRPr="00CB4C62">
          <w:rPr>
            <w:rStyle w:val="Hyperlink"/>
            <w:rFonts w:ascii="Cambria" w:hAnsi="Cambria"/>
            <w:color w:val="632423" w:themeColor="accent2" w:themeShade="80"/>
            <w:sz w:val="22"/>
            <w:szCs w:val="22"/>
          </w:rPr>
          <w:t>http://www-935.ibm.com/services/us/cio/pdf/data-governance-best-practices.pdf</w:t>
        </w:r>
      </w:hyperlink>
    </w:p>
    <w:p w14:paraId="596FE0CB" w14:textId="4483ECDB" w:rsidR="00194393" w:rsidRPr="00CB4C62" w:rsidRDefault="00194393">
      <w:pPr>
        <w:rPr>
          <w:rFonts w:ascii="Cambria" w:hAnsi="Cambria"/>
          <w:color w:val="632423" w:themeColor="accent2" w:themeShade="80"/>
          <w:sz w:val="22"/>
          <w:szCs w:val="22"/>
        </w:rPr>
      </w:pPr>
      <w:r w:rsidRPr="00CB4C62">
        <w:rPr>
          <w:rFonts w:ascii="Cambria" w:hAnsi="Cambria"/>
          <w:color w:val="632423" w:themeColor="accent2" w:themeShade="80"/>
          <w:sz w:val="22"/>
          <w:szCs w:val="22"/>
        </w:rPr>
        <w:t>Data Round Table:</w:t>
      </w:r>
      <w:r w:rsidR="00371E97" w:rsidRPr="00CB4C62">
        <w:rPr>
          <w:rFonts w:ascii="Cambria" w:hAnsi="Cambria"/>
          <w:color w:val="632423" w:themeColor="accent2" w:themeShade="80"/>
          <w:sz w:val="22"/>
          <w:szCs w:val="22"/>
        </w:rPr>
        <w:t xml:space="preserve"> </w:t>
      </w:r>
      <w:hyperlink r:id="rId14" w:history="1">
        <w:r w:rsidR="00371E97" w:rsidRPr="00CB4C62">
          <w:rPr>
            <w:rStyle w:val="Hyperlink"/>
            <w:rFonts w:ascii="Cambria" w:hAnsi="Cambria"/>
            <w:color w:val="632423" w:themeColor="accent2" w:themeShade="80"/>
            <w:sz w:val="22"/>
            <w:szCs w:val="22"/>
          </w:rPr>
          <w:t>http://blogs.sas.com/content/datamanagement/tag/data-governance/</w:t>
        </w:r>
      </w:hyperlink>
    </w:p>
    <w:p w14:paraId="62020D03" w14:textId="49479BB7" w:rsidR="00170B69" w:rsidRPr="00CB4C62" w:rsidRDefault="00194393">
      <w:pPr>
        <w:rPr>
          <w:rStyle w:val="Hyperlink"/>
          <w:rFonts w:ascii="Cambria" w:hAnsi="Cambria"/>
          <w:color w:val="632423" w:themeColor="accent2" w:themeShade="80"/>
          <w:sz w:val="22"/>
          <w:szCs w:val="22"/>
        </w:rPr>
      </w:pPr>
      <w:r w:rsidRPr="00CB4C62">
        <w:rPr>
          <w:rFonts w:ascii="Cambria" w:hAnsi="Cambria"/>
          <w:color w:val="632423" w:themeColor="accent2" w:themeShade="80"/>
          <w:sz w:val="22"/>
          <w:szCs w:val="22"/>
        </w:rPr>
        <w:t>Office of Research Integrity at the US Department of Health and Human Services:</w:t>
      </w:r>
      <w:r w:rsidR="008A552E" w:rsidRPr="00CB4C62">
        <w:rPr>
          <w:rFonts w:ascii="Cambria" w:hAnsi="Cambria"/>
          <w:color w:val="632423" w:themeColor="accent2" w:themeShade="80"/>
          <w:sz w:val="22"/>
          <w:szCs w:val="22"/>
        </w:rPr>
        <w:t xml:space="preserve"> </w:t>
      </w:r>
      <w:hyperlink r:id="rId15" w:history="1">
        <w:r w:rsidR="008A552E" w:rsidRPr="00CB4C62">
          <w:rPr>
            <w:rStyle w:val="Hyperlink"/>
            <w:rFonts w:ascii="Cambria" w:hAnsi="Cambria"/>
            <w:color w:val="632423" w:themeColor="accent2" w:themeShade="80"/>
            <w:sz w:val="22"/>
            <w:szCs w:val="22"/>
          </w:rPr>
          <w:t>http://ori.hhs.gov/education/products/clinicaltools/data.pdf</w:t>
        </w:r>
      </w:hyperlink>
    </w:p>
    <w:p w14:paraId="4E705DBF" w14:textId="426A45AE" w:rsidR="00EF431C" w:rsidRPr="00CB4C62" w:rsidRDefault="004E34D0">
      <w:pPr>
        <w:rPr>
          <w:rFonts w:ascii="Cambria" w:hAnsi="Cambria"/>
          <w:color w:val="632423" w:themeColor="accent2" w:themeShade="80"/>
          <w:sz w:val="22"/>
          <w:szCs w:val="22"/>
        </w:rPr>
      </w:pPr>
      <w:r w:rsidRPr="00CB4C62">
        <w:rPr>
          <w:rFonts w:ascii="Cambria" w:hAnsi="Cambria"/>
          <w:color w:val="632423" w:themeColor="accent2" w:themeShade="80"/>
          <w:sz w:val="22"/>
          <w:szCs w:val="22"/>
        </w:rPr>
        <w:t xml:space="preserve">Better Evaluation: </w:t>
      </w:r>
      <w:hyperlink r:id="rId16" w:history="1">
        <w:r w:rsidR="00EF431C" w:rsidRPr="00CB4C62">
          <w:rPr>
            <w:rStyle w:val="Hyperlink"/>
            <w:rFonts w:ascii="Cambria" w:hAnsi="Cambria"/>
            <w:color w:val="632423" w:themeColor="accent2" w:themeShade="80"/>
            <w:sz w:val="22"/>
            <w:szCs w:val="22"/>
          </w:rPr>
          <w:t>http://betterevaluation.org/plan/describe/manage_data</w:t>
        </w:r>
      </w:hyperlink>
    </w:p>
    <w:p w14:paraId="13C4A283" w14:textId="7D535D22" w:rsidR="008B061B" w:rsidRPr="00CB4C62" w:rsidRDefault="004E34D0">
      <w:pPr>
        <w:rPr>
          <w:rFonts w:ascii="Cambria" w:hAnsi="Cambria"/>
          <w:color w:val="632423" w:themeColor="accent2" w:themeShade="80"/>
          <w:sz w:val="22"/>
          <w:szCs w:val="22"/>
          <w:u w:val="single"/>
        </w:rPr>
      </w:pPr>
      <w:r w:rsidRPr="00CB4C62">
        <w:rPr>
          <w:rFonts w:ascii="Cambria" w:hAnsi="Cambria"/>
          <w:color w:val="632423" w:themeColor="accent2" w:themeShade="80"/>
          <w:sz w:val="22"/>
          <w:szCs w:val="22"/>
        </w:rPr>
        <w:t xml:space="preserve">University of Florida - IRB 01: </w:t>
      </w:r>
      <w:hyperlink r:id="rId17" w:history="1">
        <w:r w:rsidR="00DE28AF" w:rsidRPr="00CB4C62">
          <w:rPr>
            <w:rStyle w:val="Hyperlink"/>
            <w:rFonts w:ascii="Cambria" w:hAnsi="Cambria"/>
            <w:color w:val="632423" w:themeColor="accent2" w:themeShade="80"/>
            <w:sz w:val="22"/>
            <w:szCs w:val="22"/>
          </w:rPr>
          <w:t>http://irb.ufl.edu/irb01/data.html</w:t>
        </w:r>
      </w:hyperlink>
    </w:p>
    <w:p w14:paraId="5131A3C2" w14:textId="4402ED58" w:rsidR="00EF431C" w:rsidRPr="00CB4C62" w:rsidRDefault="00053AAF">
      <w:pPr>
        <w:rPr>
          <w:rFonts w:ascii="Cambria" w:hAnsi="Cambria"/>
          <w:color w:val="632423" w:themeColor="accent2" w:themeShade="80"/>
          <w:sz w:val="22"/>
          <w:szCs w:val="22"/>
        </w:rPr>
      </w:pPr>
      <w:r w:rsidRPr="00CB4C62">
        <w:rPr>
          <w:rFonts w:ascii="Cambria" w:hAnsi="Cambria"/>
          <w:color w:val="632423" w:themeColor="accent2" w:themeShade="80"/>
          <w:sz w:val="22"/>
          <w:szCs w:val="22"/>
        </w:rPr>
        <w:t xml:space="preserve">AEA Guiding Principles for Evaluators: </w:t>
      </w:r>
      <w:hyperlink r:id="rId18" w:history="1">
        <w:r w:rsidR="00EF431C" w:rsidRPr="00CB4C62">
          <w:rPr>
            <w:rStyle w:val="Hyperlink"/>
            <w:rFonts w:ascii="Cambria" w:hAnsi="Cambria"/>
            <w:color w:val="632423" w:themeColor="accent2" w:themeShade="80"/>
            <w:sz w:val="22"/>
            <w:szCs w:val="22"/>
          </w:rPr>
          <w:t>http://www.eval.org/p/cm/ld/fid=51</w:t>
        </w:r>
      </w:hyperlink>
    </w:p>
    <w:sectPr w:rsidR="00EF431C" w:rsidRPr="00CB4C62" w:rsidSect="009B14AA">
      <w:headerReference w:type="default" r:id="rId19"/>
      <w:footerReference w:type="default" r:id="rId20"/>
      <w:pgSz w:w="15840" w:h="12240" w:orient="landscape" w:code="1"/>
      <w:pgMar w:top="1170" w:right="1080" w:bottom="1440" w:left="1080" w:header="45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DDC0" w14:textId="77777777" w:rsidR="00004C00" w:rsidRDefault="00004C00" w:rsidP="001E2CEF">
      <w:r>
        <w:separator/>
      </w:r>
    </w:p>
  </w:endnote>
  <w:endnote w:type="continuationSeparator" w:id="0">
    <w:p w14:paraId="09A06FED" w14:textId="77777777" w:rsidR="00004C00" w:rsidRDefault="00004C00" w:rsidP="001E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MAL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12312"/>
    </w:tblGrid>
    <w:tr w:rsidR="00A2153D" w14:paraId="1F70C1B6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698DDE17" w14:textId="7D153087" w:rsidR="00A2153D" w:rsidRDefault="00A2153D">
          <w:pPr>
            <w:pStyle w:val="Footer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14:paraId="028E12B8" w14:textId="64C0FAF4" w:rsidR="00A2153D" w:rsidRDefault="00F16B2A" w:rsidP="004A7C71">
          <w:pPr>
            <w:pStyle w:val="Footer"/>
            <w:tabs>
              <w:tab w:val="clear" w:pos="4680"/>
              <w:tab w:val="clear" w:pos="9360"/>
              <w:tab w:val="left" w:pos="2190"/>
              <w:tab w:val="left" w:pos="10680"/>
            </w:tabs>
          </w:pPr>
          <w:sdt>
            <w:sdtPr>
              <w:rPr>
                <w:rFonts w:ascii="Cambria" w:hAnsi="Cambria"/>
                <w:color w:val="632423" w:themeColor="accent2" w:themeShade="80"/>
              </w:rPr>
              <w:alias w:val="Company"/>
              <w:id w:val="734124586"/>
              <w:placeholder>
                <w:docPart w:val="1D06C194CA604D659BEC4B5679319BD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2153D" w:rsidRPr="00CB4C62">
                <w:rPr>
                  <w:rFonts w:ascii="Cambria" w:hAnsi="Cambria"/>
                  <w:color w:val="632423" w:themeColor="accent2" w:themeShade="80"/>
                </w:rPr>
                <w:t>www.eraeval.org</w:t>
              </w:r>
            </w:sdtContent>
          </w:sdt>
          <w:r w:rsidR="00CB4C62">
            <w:tab/>
            <w:t xml:space="preserve">                                                                                                                                  </w:t>
          </w:r>
          <w:r w:rsidR="004A7C71" w:rsidRPr="00CB4C62">
            <w:rPr>
              <w:rFonts w:ascii="Cambria" w:hAnsi="Cambria"/>
              <w:color w:val="632423" w:themeColor="accent2" w:themeShade="80"/>
              <w:sz w:val="20"/>
            </w:rPr>
            <w:t>AEA 2013</w:t>
          </w:r>
          <w:r w:rsidR="004A7C71">
            <w:rPr>
              <w:rFonts w:ascii="Cambria" w:hAnsi="Cambria"/>
              <w:color w:val="632423" w:themeColor="accent2" w:themeShade="80"/>
              <w:sz w:val="20"/>
            </w:rPr>
            <w:t>:</w:t>
          </w:r>
          <w:r w:rsidR="00CB4C62" w:rsidRPr="00CB4C62">
            <w:rPr>
              <w:rFonts w:ascii="Cambria" w:hAnsi="Cambria" w:cs="Tahoma"/>
              <w:color w:val="632423" w:themeColor="accent2" w:themeShade="80"/>
              <w:sz w:val="20"/>
            </w:rPr>
            <w:t>Think Tank Session 772</w:t>
          </w:r>
        </w:p>
      </w:tc>
    </w:tr>
  </w:tbl>
  <w:p w14:paraId="32B782A6" w14:textId="5D568288" w:rsidR="001E2CEF" w:rsidRPr="000F3278" w:rsidRDefault="001E2CEF" w:rsidP="000F3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72BDD" w14:textId="77777777" w:rsidR="00004C00" w:rsidRDefault="00004C00" w:rsidP="001E2CEF">
      <w:r>
        <w:separator/>
      </w:r>
    </w:p>
  </w:footnote>
  <w:footnote w:type="continuationSeparator" w:id="0">
    <w:p w14:paraId="41CCB056" w14:textId="77777777" w:rsidR="00004C00" w:rsidRDefault="00004C00" w:rsidP="001E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1541" w14:textId="68016374" w:rsidR="00CD7B5F" w:rsidRPr="00B847CE" w:rsidRDefault="00CB4C62" w:rsidP="00F16B2A">
    <w:pPr>
      <w:tabs>
        <w:tab w:val="center" w:pos="6480"/>
        <w:tab w:val="left" w:pos="10950"/>
      </w:tabs>
      <w:rPr>
        <w:rFonts w:ascii="Cambria" w:hAnsi="Cambria"/>
        <w:color w:val="632423" w:themeColor="accent2" w:themeShade="80"/>
        <w:sz w:val="36"/>
        <w:szCs w:val="36"/>
      </w:rPr>
    </w:pPr>
    <w:r w:rsidRPr="00B847CE">
      <w:rPr>
        <w:rFonts w:ascii="Cambria" w:hAnsi="Cambria" w:cs="Tahoma"/>
        <w:bCs/>
        <w:color w:val="632423" w:themeColor="accent2" w:themeShade="80"/>
        <w:sz w:val="36"/>
        <w:szCs w:val="36"/>
      </w:rPr>
      <w:t>Session Title: The Importance of Data Governance in Evaluation</w:t>
    </w:r>
    <w:r w:rsidR="00A2153D" w:rsidRPr="00B847CE">
      <w:rPr>
        <w:rFonts w:ascii="Cambria" w:hAnsi="Cambria"/>
        <w:noProof/>
        <w:color w:val="632423" w:themeColor="accent2" w:themeShade="80"/>
        <w:sz w:val="36"/>
        <w:szCs w:val="36"/>
      </w:rPr>
      <w:drawing>
        <wp:anchor distT="0" distB="0" distL="114300" distR="114300" simplePos="0" relativeHeight="251658240" behindDoc="1" locked="0" layoutInCell="1" allowOverlap="1" wp14:anchorId="406CA152" wp14:editId="55666E23">
          <wp:simplePos x="0" y="0"/>
          <wp:positionH relativeFrom="column">
            <wp:posOffset>9525</wp:posOffset>
          </wp:positionH>
          <wp:positionV relativeFrom="paragraph">
            <wp:posOffset>-66675</wp:posOffset>
          </wp:positionV>
          <wp:extent cx="1419225" cy="371475"/>
          <wp:effectExtent l="0" t="0" r="9525" b="9525"/>
          <wp:wrapThrough wrapText="bothSides">
            <wp:wrapPolygon edited="0">
              <wp:start x="0" y="0"/>
              <wp:lineTo x="0" y="7754"/>
              <wp:lineTo x="1450" y="18831"/>
              <wp:lineTo x="2899" y="21046"/>
              <wp:lineTo x="21455" y="21046"/>
              <wp:lineTo x="21455" y="6646"/>
              <wp:lineTo x="15366" y="1108"/>
              <wp:lineTo x="260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l_logo_transb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B5F" w:rsidRPr="00B847CE">
      <w:rPr>
        <w:rFonts w:ascii="Cambria" w:hAnsi="Cambria" w:cstheme="minorHAnsi"/>
        <w:color w:val="632423" w:themeColor="accent2" w:themeShade="8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6B67"/>
    <w:multiLevelType w:val="hybridMultilevel"/>
    <w:tmpl w:val="10028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800A8"/>
    <w:multiLevelType w:val="hybridMultilevel"/>
    <w:tmpl w:val="3F86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3A69"/>
    <w:multiLevelType w:val="hybridMultilevel"/>
    <w:tmpl w:val="19B4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82EDB"/>
    <w:multiLevelType w:val="hybridMultilevel"/>
    <w:tmpl w:val="73FE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3F"/>
    <w:rsid w:val="00004C00"/>
    <w:rsid w:val="00023258"/>
    <w:rsid w:val="00053AAF"/>
    <w:rsid w:val="000F3278"/>
    <w:rsid w:val="00170B69"/>
    <w:rsid w:val="00194393"/>
    <w:rsid w:val="001E1C7E"/>
    <w:rsid w:val="001E2CEF"/>
    <w:rsid w:val="00222799"/>
    <w:rsid w:val="002A3AB2"/>
    <w:rsid w:val="002E6550"/>
    <w:rsid w:val="00354BEF"/>
    <w:rsid w:val="00362CEC"/>
    <w:rsid w:val="00371E97"/>
    <w:rsid w:val="00455A1D"/>
    <w:rsid w:val="0048173F"/>
    <w:rsid w:val="004A7C71"/>
    <w:rsid w:val="004E0E21"/>
    <w:rsid w:val="004E34D0"/>
    <w:rsid w:val="004F69CF"/>
    <w:rsid w:val="0053259F"/>
    <w:rsid w:val="005B315F"/>
    <w:rsid w:val="005E7876"/>
    <w:rsid w:val="006460E8"/>
    <w:rsid w:val="006D5FB8"/>
    <w:rsid w:val="007205CB"/>
    <w:rsid w:val="007218B4"/>
    <w:rsid w:val="00724BA6"/>
    <w:rsid w:val="00784CD0"/>
    <w:rsid w:val="007901F0"/>
    <w:rsid w:val="00850672"/>
    <w:rsid w:val="00854AD3"/>
    <w:rsid w:val="00883596"/>
    <w:rsid w:val="0088445A"/>
    <w:rsid w:val="008864F5"/>
    <w:rsid w:val="00897534"/>
    <w:rsid w:val="008A552E"/>
    <w:rsid w:val="008B061B"/>
    <w:rsid w:val="00900FFD"/>
    <w:rsid w:val="00922496"/>
    <w:rsid w:val="009A471A"/>
    <w:rsid w:val="009B14AA"/>
    <w:rsid w:val="00A02CD0"/>
    <w:rsid w:val="00A2153D"/>
    <w:rsid w:val="00A32FD4"/>
    <w:rsid w:val="00AE29BC"/>
    <w:rsid w:val="00B847CE"/>
    <w:rsid w:val="00C35D88"/>
    <w:rsid w:val="00C82D19"/>
    <w:rsid w:val="00CB4C62"/>
    <w:rsid w:val="00CD7B5F"/>
    <w:rsid w:val="00CF4327"/>
    <w:rsid w:val="00CF5929"/>
    <w:rsid w:val="00D360A5"/>
    <w:rsid w:val="00DE28AF"/>
    <w:rsid w:val="00E25BEE"/>
    <w:rsid w:val="00E96AC4"/>
    <w:rsid w:val="00ED7DE4"/>
    <w:rsid w:val="00EF431C"/>
    <w:rsid w:val="00F04377"/>
    <w:rsid w:val="00F16B2A"/>
    <w:rsid w:val="00F376B0"/>
    <w:rsid w:val="00F82C1C"/>
    <w:rsid w:val="00F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F9A6E"/>
  <w15:docId w15:val="{4D48DFE1-7080-45FA-A3A7-BC7B2848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3F"/>
    <w:rPr>
      <w:rFonts w:ascii="Calibri" w:eastAsia="Times New Roman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73F"/>
    <w:pPr>
      <w:autoSpaceDE w:val="0"/>
      <w:autoSpaceDN w:val="0"/>
      <w:adjustRightInd w:val="0"/>
    </w:pPr>
    <w:rPr>
      <w:rFonts w:ascii="LOMALG+Arial" w:eastAsia="Times New Roman" w:hAnsi="LOMALG+Arial" w:cs="LOMALG+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0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B69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69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6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CEF"/>
    <w:rPr>
      <w:rFonts w:ascii="Calibri" w:eastAsia="Times New Roman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2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CEF"/>
    <w:rPr>
      <w:rFonts w:ascii="Calibri" w:eastAsia="Times New Roman" w:hAnsi="Calibri" w:cs="Times New Roman"/>
      <w:sz w:val="24"/>
    </w:rPr>
  </w:style>
  <w:style w:type="table" w:styleId="LightShading-Accent2">
    <w:name w:val="Light Shading Accent 2"/>
    <w:basedOn w:val="TableNormal"/>
    <w:uiPriority w:val="60"/>
    <w:rsid w:val="000F327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evision">
    <w:name w:val="Revision"/>
    <w:hidden/>
    <w:uiPriority w:val="99"/>
    <w:semiHidden/>
    <w:rsid w:val="00E96AC4"/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4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-935.ibm.com/services/us/cio/pdf/data-governance-best-practices.pdf" TargetMode="External"/><Relationship Id="rId18" Type="http://schemas.openxmlformats.org/officeDocument/2006/relationships/hyperlink" Target="http://www.eval.org/p/cm/ld/fid=5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atagovernance.com/" TargetMode="External"/><Relationship Id="rId17" Type="http://schemas.openxmlformats.org/officeDocument/2006/relationships/hyperlink" Target="http://irb.ufl.edu/irb01/dat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etterevaluation.org/plan/describe/manage_dat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ea365.org/blo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ri.hhs.gov/education/products/clinicaltools/data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logs.sas.com/content/datamanagement/tag/data-governance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06C194CA604D659BEC4B567931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B9A7-556A-4EBD-9926-1A01BED03D29}"/>
      </w:docPartPr>
      <w:docPartBody>
        <w:p w:rsidR="003742B1" w:rsidRDefault="00492B52" w:rsidP="00492B52">
          <w:pPr>
            <w:pStyle w:val="1D06C194CA604D659BEC4B5679319BD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MAL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52"/>
    <w:rsid w:val="003742B1"/>
    <w:rsid w:val="004305E9"/>
    <w:rsid w:val="00492B52"/>
    <w:rsid w:val="005A1904"/>
    <w:rsid w:val="00A463B0"/>
    <w:rsid w:val="00AC586E"/>
    <w:rsid w:val="00AF2E1E"/>
    <w:rsid w:val="00F176C2"/>
    <w:rsid w:val="00F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E3A162D2554BA9AA60E5FB5D502176">
    <w:name w:val="A5E3A162D2554BA9AA60E5FB5D502176"/>
    <w:rsid w:val="00492B52"/>
  </w:style>
  <w:style w:type="paragraph" w:customStyle="1" w:styleId="1D06C194CA604D659BEC4B5679319BDB">
    <w:name w:val="1D06C194CA604D659BEC4B5679319BDB"/>
    <w:rsid w:val="00492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9FFBC163024DB72CBB71A701231E" ma:contentTypeVersion="0" ma:contentTypeDescription="Create a new document." ma:contentTypeScope="" ma:versionID="5f24890a18784fee69cb6294cb9bf7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64ee2b29febba03ef994b7323bdb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5B85-211F-4E31-A391-DCAB5B92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54734-30CC-498E-A4DA-A3752162D53C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DACDB2-85CC-4B39-AFAE-AFD8F2FFB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B506D6-5421-40F8-9AFB-41BBD7BC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www.eraeval.org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Liston</dc:creator>
  <cp:lastModifiedBy>Julie Elworth</cp:lastModifiedBy>
  <cp:revision>3</cp:revision>
  <cp:lastPrinted>2013-10-15T20:30:00Z</cp:lastPrinted>
  <dcterms:created xsi:type="dcterms:W3CDTF">2013-10-15T20:34:00Z</dcterms:created>
  <dcterms:modified xsi:type="dcterms:W3CDTF">2013-10-15T20:34:00Z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0x0101008FD49FFBC163024DB72CBB71A701231E</vt:lpwstr>
  </property>
</Properties>
</file>