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21" w:rsidRDefault="00F97B21" w:rsidP="00E952E7">
      <w:pPr>
        <w:rPr>
          <w:b/>
        </w:rPr>
      </w:pPr>
      <w:r>
        <w:rPr>
          <w:b/>
        </w:rPr>
        <w:t xml:space="preserve">Title: </w:t>
      </w:r>
      <w:r w:rsidR="00E952E7" w:rsidRPr="00E952E7">
        <w:rPr>
          <w:b/>
          <w:bCs/>
        </w:rPr>
        <w:t>Evaluating “Trauma-Informed Care” for Veterans: Two States’ Approaches and Challenges</w:t>
      </w:r>
    </w:p>
    <w:p w:rsidR="00E50CFE" w:rsidRDefault="001F7F3C" w:rsidP="00F97B21">
      <w:pPr>
        <w:spacing w:after="0"/>
        <w:rPr>
          <w:b/>
        </w:rPr>
        <w:sectPr w:rsidR="00E50CFE">
          <w:pgSz w:w="12240" w:h="15840"/>
          <w:pgMar w:top="1152" w:right="720" w:bottom="1152" w:left="720" w:gutter="0"/>
          <w:docGrid w:linePitch="360"/>
        </w:sectPr>
      </w:pPr>
      <w:r>
        <w:rPr>
          <w:b/>
        </w:rPr>
        <w:t>Presenters:</w:t>
      </w:r>
    </w:p>
    <w:p w:rsidR="001F7F3C" w:rsidRDefault="001F7F3C" w:rsidP="00E952E7">
      <w:pPr>
        <w:spacing w:after="0"/>
        <w:rPr>
          <w:b/>
        </w:rPr>
      </w:pPr>
    </w:p>
    <w:p w:rsidR="00E50CFE" w:rsidRPr="001F7F3C" w:rsidRDefault="00E50CFE" w:rsidP="001F7F3C">
      <w:pPr>
        <w:sectPr w:rsidR="00E50CFE" w:rsidRPr="001F7F3C">
          <w:type w:val="continuous"/>
          <w:pgSz w:w="12240" w:h="15840"/>
          <w:pgMar w:top="1152" w:right="720" w:bottom="1152" w:left="720" w:gutter="0"/>
          <w:docGrid w:linePitch="360"/>
        </w:sectPr>
      </w:pPr>
    </w:p>
    <w:p w:rsidR="00E952E7" w:rsidRPr="00E952E7" w:rsidRDefault="00E952E7" w:rsidP="00E952E7">
      <w:pPr>
        <w:spacing w:after="0"/>
        <w:rPr>
          <w:b/>
        </w:rPr>
      </w:pPr>
      <w:r w:rsidRPr="00E952E7">
        <w:rPr>
          <w:b/>
        </w:rPr>
        <w:t>John F. Stevenson</w:t>
      </w:r>
    </w:p>
    <w:p w:rsidR="00E952E7" w:rsidRPr="00E952E7" w:rsidRDefault="00E952E7" w:rsidP="00E952E7">
      <w:pPr>
        <w:spacing w:after="0"/>
        <w:rPr>
          <w:b/>
        </w:rPr>
      </w:pPr>
      <w:r w:rsidRPr="00E952E7">
        <w:rPr>
          <w:b/>
        </w:rPr>
        <w:t>Department of Psychology</w:t>
      </w:r>
    </w:p>
    <w:p w:rsidR="00E952E7" w:rsidRPr="00E952E7" w:rsidRDefault="00E952E7" w:rsidP="00E952E7">
      <w:pPr>
        <w:spacing w:after="0"/>
        <w:rPr>
          <w:b/>
        </w:rPr>
      </w:pPr>
      <w:r w:rsidRPr="00E952E7">
        <w:rPr>
          <w:b/>
        </w:rPr>
        <w:t>University of Rhode Island</w:t>
      </w:r>
    </w:p>
    <w:p w:rsidR="00E952E7" w:rsidRPr="00E952E7" w:rsidRDefault="00E952E7" w:rsidP="00E952E7">
      <w:pPr>
        <w:spacing w:after="0"/>
        <w:rPr>
          <w:b/>
        </w:rPr>
      </w:pPr>
      <w:r w:rsidRPr="00E952E7">
        <w:rPr>
          <w:b/>
        </w:rPr>
        <w:t>10 Chafee Road</w:t>
      </w:r>
    </w:p>
    <w:p w:rsidR="00E952E7" w:rsidRPr="00E952E7" w:rsidRDefault="00E952E7" w:rsidP="00E952E7">
      <w:pPr>
        <w:spacing w:after="0"/>
        <w:rPr>
          <w:b/>
        </w:rPr>
      </w:pPr>
      <w:r w:rsidRPr="00E952E7">
        <w:rPr>
          <w:b/>
        </w:rPr>
        <w:t>Kingston, RI 02881</w:t>
      </w:r>
    </w:p>
    <w:p w:rsidR="00E952E7" w:rsidRPr="00E952E7" w:rsidRDefault="00E952E7" w:rsidP="00E952E7">
      <w:pPr>
        <w:spacing w:after="0"/>
        <w:rPr>
          <w:b/>
        </w:rPr>
      </w:pPr>
      <w:r w:rsidRPr="00E952E7">
        <w:rPr>
          <w:b/>
        </w:rPr>
        <w:t>401-874-4240</w:t>
      </w:r>
    </w:p>
    <w:p w:rsidR="00E952E7" w:rsidRPr="00E952E7" w:rsidRDefault="00E952E7" w:rsidP="00E952E7">
      <w:pPr>
        <w:spacing w:after="0"/>
        <w:rPr>
          <w:b/>
        </w:rPr>
      </w:pPr>
      <w:r w:rsidRPr="00E952E7">
        <w:rPr>
          <w:b/>
        </w:rPr>
        <w:t>jsteve@uri.edu</w:t>
      </w:r>
    </w:p>
    <w:p w:rsidR="00E50CFE" w:rsidRDefault="00E50CFE" w:rsidP="00E952E7">
      <w:pPr>
        <w:spacing w:after="0"/>
        <w:rPr>
          <w:b/>
        </w:rPr>
      </w:pPr>
    </w:p>
    <w:p w:rsidR="00E952E7" w:rsidRPr="00E952E7" w:rsidRDefault="00E952E7" w:rsidP="00E952E7">
      <w:pPr>
        <w:spacing w:after="0"/>
        <w:rPr>
          <w:b/>
        </w:rPr>
      </w:pPr>
    </w:p>
    <w:p w:rsidR="00E952E7" w:rsidRPr="00E952E7" w:rsidRDefault="00E952E7" w:rsidP="00E952E7">
      <w:pPr>
        <w:spacing w:after="0"/>
        <w:rPr>
          <w:b/>
        </w:rPr>
      </w:pPr>
      <w:r w:rsidRPr="00E952E7">
        <w:rPr>
          <w:b/>
        </w:rPr>
        <w:t>Stacey Stevens Manser</w:t>
      </w:r>
    </w:p>
    <w:p w:rsidR="00E952E7" w:rsidRPr="00E952E7" w:rsidRDefault="00E952E7" w:rsidP="00E952E7">
      <w:pPr>
        <w:spacing w:after="0"/>
        <w:rPr>
          <w:b/>
        </w:rPr>
      </w:pPr>
      <w:r w:rsidRPr="00E952E7">
        <w:rPr>
          <w:b/>
        </w:rPr>
        <w:t>University of Texas at Austin, Center for Social Work Research</w:t>
      </w:r>
    </w:p>
    <w:p w:rsidR="00E952E7" w:rsidRPr="00E952E7" w:rsidRDefault="00E952E7" w:rsidP="00E952E7">
      <w:pPr>
        <w:spacing w:after="0"/>
        <w:rPr>
          <w:b/>
        </w:rPr>
      </w:pPr>
      <w:r w:rsidRPr="00E952E7">
        <w:rPr>
          <w:b/>
        </w:rPr>
        <w:t>1717 W. 6th Street</w:t>
      </w:r>
    </w:p>
    <w:p w:rsidR="00E952E7" w:rsidRPr="00E952E7" w:rsidRDefault="00E952E7" w:rsidP="00E952E7">
      <w:pPr>
        <w:spacing w:after="0"/>
        <w:rPr>
          <w:b/>
        </w:rPr>
      </w:pPr>
      <w:r w:rsidRPr="00E952E7">
        <w:rPr>
          <w:b/>
        </w:rPr>
        <w:t>Austin, Texas 78703</w:t>
      </w:r>
    </w:p>
    <w:p w:rsidR="00E952E7" w:rsidRPr="00E952E7" w:rsidRDefault="00E952E7" w:rsidP="00E952E7">
      <w:pPr>
        <w:spacing w:after="0"/>
        <w:rPr>
          <w:b/>
        </w:rPr>
      </w:pPr>
      <w:r w:rsidRPr="00E952E7">
        <w:rPr>
          <w:b/>
        </w:rPr>
        <w:t>512-289-0148</w:t>
      </w:r>
    </w:p>
    <w:p w:rsidR="00E952E7" w:rsidRPr="00E952E7" w:rsidRDefault="004069D0" w:rsidP="00E952E7">
      <w:pPr>
        <w:spacing w:after="0"/>
        <w:rPr>
          <w:b/>
        </w:rPr>
      </w:pPr>
      <w:hyperlink r:id="rId7" w:history="1">
        <w:r w:rsidR="00E952E7" w:rsidRPr="00E952E7">
          <w:rPr>
            <w:rStyle w:val="Hyperlink"/>
            <w:b/>
          </w:rPr>
          <w:t>stacey.manser@austin.utexas.edu</w:t>
        </w:r>
      </w:hyperlink>
    </w:p>
    <w:p w:rsidR="00E952E7" w:rsidRPr="00E952E7" w:rsidRDefault="00E952E7" w:rsidP="00E952E7">
      <w:pPr>
        <w:spacing w:after="0"/>
        <w:rPr>
          <w:b/>
        </w:rPr>
      </w:pPr>
      <w:r w:rsidRPr="00E952E7">
        <w:rPr>
          <w:b/>
        </w:rPr>
        <w:t>http://www.utexas.edu/ssw/cswr/institutes/mental-health/</w:t>
      </w:r>
    </w:p>
    <w:p w:rsidR="00E50CFE" w:rsidRDefault="00E50CFE" w:rsidP="00F97B21">
      <w:pPr>
        <w:spacing w:after="0"/>
        <w:rPr>
          <w:b/>
        </w:rPr>
        <w:sectPr w:rsidR="00E50CFE">
          <w:type w:val="continuous"/>
          <w:pgSz w:w="12240" w:h="15840"/>
          <w:pgMar w:top="1152" w:right="720" w:bottom="1152" w:left="720" w:gutter="0"/>
          <w:cols w:num="2"/>
          <w:docGrid w:linePitch="360"/>
        </w:sectPr>
      </w:pPr>
    </w:p>
    <w:p w:rsidR="00F64BC8" w:rsidRDefault="00F64BC8" w:rsidP="00F97B21">
      <w:pPr>
        <w:spacing w:after="0"/>
        <w:rPr>
          <w:b/>
        </w:rPr>
      </w:pPr>
    </w:p>
    <w:p w:rsidR="00744C1F" w:rsidRDefault="00F64BC8" w:rsidP="00744C1F">
      <w:pPr>
        <w:spacing w:after="0"/>
        <w:rPr>
          <w:b/>
        </w:rPr>
      </w:pPr>
      <w:r>
        <w:rPr>
          <w:b/>
        </w:rPr>
        <w:t>Abstract:</w:t>
      </w:r>
    </w:p>
    <w:p w:rsidR="00744C1F" w:rsidRDefault="00E50CFE" w:rsidP="00744C1F">
      <w:pPr>
        <w:spacing w:after="0"/>
      </w:pPr>
      <w:r w:rsidRPr="00E95AF7">
        <w:t xml:space="preserve">This </w:t>
      </w:r>
      <w:r>
        <w:t>paper</w:t>
      </w:r>
      <w:r w:rsidRPr="00E95AF7">
        <w:t xml:space="preserve"> examines </w:t>
      </w:r>
      <w:r>
        <w:t xml:space="preserve">how </w:t>
      </w:r>
      <w:r w:rsidRPr="00E95AF7">
        <w:t>evaluation</w:t>
      </w:r>
      <w:r>
        <w:t xml:space="preserve"> of “trauma-specific interventions” has proceeded in two states</w:t>
      </w:r>
      <w:r w:rsidRPr="00E95AF7">
        <w:t xml:space="preserve"> </w:t>
      </w:r>
      <w:r>
        <w:t>that are part of a larger multi-state project providing various forms of trauma-informed care to justice-involved veterans as they enter the criminal justice system. Funded by</w:t>
      </w:r>
      <w:r w:rsidRPr="000700D8">
        <w:t xml:space="preserve"> the Substance Abuse and Mental Health Services Administration, Center for Mental Health Services</w:t>
      </w:r>
      <w:r>
        <w:t>,</w:t>
      </w:r>
      <w:r w:rsidRPr="000700D8">
        <w:rPr>
          <w:b/>
        </w:rPr>
        <w:t xml:space="preserve"> </w:t>
      </w:r>
      <w:r>
        <w:t>the</w:t>
      </w:r>
      <w:r w:rsidRPr="000700D8">
        <w:t xml:space="preserve"> Jail Diversion and Trauma Recovery Program-Priority to Veterans grant program</w:t>
      </w:r>
      <w:r>
        <w:t xml:space="preserve"> calls for each state to employ interventions aimed at trauma, along with other supports, as a way to “divert” arrested individuals from the usual sentencing and incarceration</w:t>
      </w:r>
      <w:r w:rsidRPr="000700D8">
        <w:t>.</w:t>
      </w:r>
      <w:r>
        <w:t xml:space="preserve"> Although the primary focus of the cross-site evaluation is on client outcomes, in this paper we provide observations and insights regarding the nature of the interventions (TAMAR in RI and Seeking Safety in TX) and the issues raised by addressing the fidelity and isolating the effects of the “treatment” across the sites in this large-scale national project.  </w:t>
      </w:r>
    </w:p>
    <w:p w:rsidR="00744C1F" w:rsidRDefault="00744C1F" w:rsidP="00744C1F">
      <w:pPr>
        <w:spacing w:after="0"/>
      </w:pPr>
    </w:p>
    <w:p w:rsidR="00744C1F" w:rsidRPr="00744C1F" w:rsidRDefault="00744C1F" w:rsidP="00744C1F">
      <w:pPr>
        <w:spacing w:after="0"/>
        <w:rPr>
          <w:b/>
        </w:rPr>
      </w:pPr>
      <w:r w:rsidRPr="00744C1F">
        <w:rPr>
          <w:b/>
        </w:rPr>
        <w:t>Table 1. Evaluation Challenges for Drawing Meaningful Conclusions:  Site Variations</w:t>
      </w:r>
    </w:p>
    <w:tbl>
      <w:tblPr>
        <w:tblStyle w:val="TableGrid"/>
        <w:tblW w:w="0" w:type="auto"/>
        <w:tblLook w:val="00BF"/>
      </w:tblPr>
      <w:tblGrid>
        <w:gridCol w:w="5148"/>
        <w:gridCol w:w="2790"/>
        <w:gridCol w:w="3078"/>
      </w:tblGrid>
      <w:tr w:rsidR="00744C1F">
        <w:tc>
          <w:tcPr>
            <w:tcW w:w="5148" w:type="dxa"/>
          </w:tcPr>
          <w:p w:rsidR="00744C1F" w:rsidRDefault="00744C1F" w:rsidP="00744C1F">
            <w:pPr>
              <w:jc w:val="center"/>
              <w:rPr>
                <w:b/>
              </w:rPr>
            </w:pPr>
            <w:r>
              <w:rPr>
                <w:b/>
              </w:rPr>
              <w:t>Characteristic</w:t>
            </w:r>
          </w:p>
        </w:tc>
        <w:tc>
          <w:tcPr>
            <w:tcW w:w="2790" w:type="dxa"/>
          </w:tcPr>
          <w:p w:rsidR="00744C1F" w:rsidRDefault="00744C1F" w:rsidP="00744C1F">
            <w:pPr>
              <w:jc w:val="center"/>
              <w:rPr>
                <w:b/>
              </w:rPr>
            </w:pPr>
            <w:r>
              <w:rPr>
                <w:b/>
              </w:rPr>
              <w:t>RI</w:t>
            </w:r>
          </w:p>
        </w:tc>
        <w:tc>
          <w:tcPr>
            <w:tcW w:w="3078" w:type="dxa"/>
          </w:tcPr>
          <w:p w:rsidR="00744C1F" w:rsidRDefault="00744C1F" w:rsidP="00744C1F">
            <w:pPr>
              <w:jc w:val="center"/>
              <w:rPr>
                <w:b/>
              </w:rPr>
            </w:pPr>
            <w:r>
              <w:rPr>
                <w:b/>
              </w:rPr>
              <w:t>TX</w:t>
            </w:r>
          </w:p>
        </w:tc>
      </w:tr>
      <w:tr w:rsidR="00744C1F" w:rsidRPr="001F7F3C">
        <w:tc>
          <w:tcPr>
            <w:tcW w:w="5148" w:type="dxa"/>
          </w:tcPr>
          <w:p w:rsidR="00744C1F" w:rsidRPr="001F7F3C" w:rsidRDefault="00744C1F" w:rsidP="00744C1F">
            <w:r w:rsidRPr="001F7F3C">
              <w:t>Intercept</w:t>
            </w:r>
          </w:p>
        </w:tc>
        <w:tc>
          <w:tcPr>
            <w:tcW w:w="2790" w:type="dxa"/>
          </w:tcPr>
          <w:p w:rsidR="00744C1F" w:rsidRPr="001F7F3C" w:rsidRDefault="00744C1F" w:rsidP="00744C1F">
            <w:r w:rsidRPr="001F7F3C">
              <w:t>2 = Arraignment</w:t>
            </w:r>
          </w:p>
        </w:tc>
        <w:tc>
          <w:tcPr>
            <w:tcW w:w="3078" w:type="dxa"/>
          </w:tcPr>
          <w:p w:rsidR="00744C1F" w:rsidRPr="001F7F3C" w:rsidRDefault="00744C1F" w:rsidP="00744C1F">
            <w:r w:rsidRPr="001F7F3C">
              <w:t>1 = pre-booking</w:t>
            </w:r>
          </w:p>
        </w:tc>
      </w:tr>
      <w:tr w:rsidR="00744C1F" w:rsidRPr="001F7F3C">
        <w:tc>
          <w:tcPr>
            <w:tcW w:w="5148" w:type="dxa"/>
          </w:tcPr>
          <w:p w:rsidR="00744C1F" w:rsidRPr="001F7F3C" w:rsidRDefault="00744C1F" w:rsidP="00744C1F">
            <w:r w:rsidRPr="001F7F3C">
              <w:t>JDTR Model:</w:t>
            </w:r>
          </w:p>
        </w:tc>
        <w:tc>
          <w:tcPr>
            <w:tcW w:w="2790" w:type="dxa"/>
          </w:tcPr>
          <w:p w:rsidR="00744C1F" w:rsidRPr="001F7F3C" w:rsidRDefault="00744C1F" w:rsidP="00744C1F">
            <w:r w:rsidRPr="001F7F3C">
              <w:t>Court-based</w:t>
            </w:r>
          </w:p>
        </w:tc>
        <w:tc>
          <w:tcPr>
            <w:tcW w:w="3078" w:type="dxa"/>
          </w:tcPr>
          <w:p w:rsidR="00744C1F" w:rsidRPr="001F7F3C" w:rsidRDefault="00744C1F" w:rsidP="00744C1F">
            <w:r w:rsidRPr="001F7F3C">
              <w:t>Center-based</w:t>
            </w:r>
          </w:p>
        </w:tc>
      </w:tr>
      <w:tr w:rsidR="00744C1F" w:rsidRPr="001F7F3C">
        <w:tc>
          <w:tcPr>
            <w:tcW w:w="5148" w:type="dxa"/>
          </w:tcPr>
          <w:p w:rsidR="00744C1F" w:rsidRPr="001F7F3C" w:rsidRDefault="00744C1F" w:rsidP="00744C1F">
            <w:r w:rsidRPr="001F7F3C">
              <w:t>Client Population</w:t>
            </w:r>
          </w:p>
        </w:tc>
        <w:tc>
          <w:tcPr>
            <w:tcW w:w="2790" w:type="dxa"/>
          </w:tcPr>
          <w:p w:rsidR="00744C1F" w:rsidRPr="001F7F3C" w:rsidRDefault="00744C1F" w:rsidP="00744C1F"/>
        </w:tc>
        <w:tc>
          <w:tcPr>
            <w:tcW w:w="3078" w:type="dxa"/>
          </w:tcPr>
          <w:p w:rsidR="00744C1F" w:rsidRPr="001F7F3C" w:rsidRDefault="00744C1F" w:rsidP="00744C1F"/>
        </w:tc>
      </w:tr>
      <w:tr w:rsidR="00744C1F" w:rsidRPr="001F7F3C">
        <w:tc>
          <w:tcPr>
            <w:tcW w:w="5148" w:type="dxa"/>
          </w:tcPr>
          <w:p w:rsidR="00744C1F" w:rsidRPr="001F7F3C" w:rsidRDefault="00744C1F" w:rsidP="00744C1F">
            <w:pPr>
              <w:pStyle w:val="ListParagraph"/>
              <w:numPr>
                <w:ilvl w:val="0"/>
                <w:numId w:val="2"/>
              </w:numPr>
            </w:pPr>
            <w:r w:rsidRPr="001F7F3C">
              <w:t>Age</w:t>
            </w:r>
          </w:p>
        </w:tc>
        <w:tc>
          <w:tcPr>
            <w:tcW w:w="2790" w:type="dxa"/>
          </w:tcPr>
          <w:p w:rsidR="00744C1F" w:rsidRPr="001F7F3C" w:rsidRDefault="00744C1F" w:rsidP="00744C1F">
            <w:r w:rsidRPr="001F7F3C">
              <w:t>37.9</w:t>
            </w:r>
          </w:p>
        </w:tc>
        <w:tc>
          <w:tcPr>
            <w:tcW w:w="3078" w:type="dxa"/>
          </w:tcPr>
          <w:p w:rsidR="00744C1F" w:rsidRPr="001F7F3C" w:rsidRDefault="00744C1F" w:rsidP="00744C1F">
            <w:r w:rsidRPr="001F7F3C">
              <w:t>48.8</w:t>
            </w:r>
          </w:p>
        </w:tc>
      </w:tr>
      <w:tr w:rsidR="00744C1F" w:rsidRPr="001F7F3C">
        <w:tc>
          <w:tcPr>
            <w:tcW w:w="5148" w:type="dxa"/>
          </w:tcPr>
          <w:p w:rsidR="00744C1F" w:rsidRPr="001F7F3C" w:rsidRDefault="00744C1F" w:rsidP="00744C1F">
            <w:pPr>
              <w:pStyle w:val="ListParagraph"/>
              <w:numPr>
                <w:ilvl w:val="0"/>
                <w:numId w:val="2"/>
              </w:numPr>
            </w:pPr>
            <w:r w:rsidRPr="001F7F3C">
              <w:t>Race/Ethnicity</w:t>
            </w:r>
          </w:p>
        </w:tc>
        <w:tc>
          <w:tcPr>
            <w:tcW w:w="2790" w:type="dxa"/>
          </w:tcPr>
          <w:p w:rsidR="00744C1F" w:rsidRPr="001F7F3C" w:rsidRDefault="00744C1F" w:rsidP="00744C1F">
            <w:r w:rsidRPr="001F7F3C">
              <w:t>8.3% Latino</w:t>
            </w:r>
          </w:p>
        </w:tc>
        <w:tc>
          <w:tcPr>
            <w:tcW w:w="3078" w:type="dxa"/>
          </w:tcPr>
          <w:p w:rsidR="00744C1F" w:rsidRPr="001F7F3C" w:rsidRDefault="00744C1F" w:rsidP="00744C1F">
            <w:r w:rsidRPr="001F7F3C">
              <w:t>37.9% Latino</w:t>
            </w:r>
          </w:p>
        </w:tc>
      </w:tr>
      <w:tr w:rsidR="00744C1F" w:rsidRPr="001F7F3C">
        <w:tc>
          <w:tcPr>
            <w:tcW w:w="5148" w:type="dxa"/>
          </w:tcPr>
          <w:p w:rsidR="00744C1F" w:rsidRPr="001F7F3C" w:rsidRDefault="00C74960" w:rsidP="00744C1F">
            <w:pPr>
              <w:pStyle w:val="ListParagraph"/>
              <w:numPr>
                <w:ilvl w:val="0"/>
                <w:numId w:val="2"/>
              </w:numPr>
            </w:pPr>
            <w:r w:rsidRPr="001F7F3C">
              <w:t>Ed</w:t>
            </w:r>
            <w:r w:rsidR="00744C1F" w:rsidRPr="001F7F3C">
              <w:t>ucation</w:t>
            </w:r>
          </w:p>
        </w:tc>
        <w:tc>
          <w:tcPr>
            <w:tcW w:w="2790" w:type="dxa"/>
          </w:tcPr>
          <w:p w:rsidR="00744C1F" w:rsidRPr="001F7F3C" w:rsidRDefault="00744C1F" w:rsidP="00744C1F">
            <w:r w:rsidRPr="001F7F3C">
              <w:t>36.1% some college</w:t>
            </w:r>
          </w:p>
        </w:tc>
        <w:tc>
          <w:tcPr>
            <w:tcW w:w="3078" w:type="dxa"/>
          </w:tcPr>
          <w:p w:rsidR="00744C1F" w:rsidRPr="001F7F3C" w:rsidRDefault="00744C1F" w:rsidP="00744C1F">
            <w:r w:rsidRPr="001F7F3C">
              <w:t>50.0% some college</w:t>
            </w:r>
          </w:p>
        </w:tc>
      </w:tr>
      <w:tr w:rsidR="00744C1F" w:rsidRPr="001F7F3C">
        <w:tc>
          <w:tcPr>
            <w:tcW w:w="5148" w:type="dxa"/>
          </w:tcPr>
          <w:p w:rsidR="00744C1F" w:rsidRPr="001F7F3C" w:rsidRDefault="00C74960" w:rsidP="00744C1F">
            <w:pPr>
              <w:pStyle w:val="ListParagraph"/>
              <w:numPr>
                <w:ilvl w:val="0"/>
                <w:numId w:val="2"/>
              </w:numPr>
            </w:pPr>
            <w:r w:rsidRPr="001F7F3C">
              <w:t>Working full-time</w:t>
            </w:r>
          </w:p>
        </w:tc>
        <w:tc>
          <w:tcPr>
            <w:tcW w:w="2790" w:type="dxa"/>
          </w:tcPr>
          <w:p w:rsidR="00744C1F" w:rsidRPr="001F7F3C" w:rsidRDefault="00C74960" w:rsidP="00744C1F">
            <w:r w:rsidRPr="001F7F3C">
              <w:t>25.0%</w:t>
            </w:r>
          </w:p>
        </w:tc>
        <w:tc>
          <w:tcPr>
            <w:tcW w:w="3078" w:type="dxa"/>
          </w:tcPr>
          <w:p w:rsidR="00744C1F" w:rsidRPr="001F7F3C" w:rsidRDefault="00C74960" w:rsidP="00744C1F">
            <w:r w:rsidRPr="001F7F3C">
              <w:t>16.7%</w:t>
            </w:r>
          </w:p>
        </w:tc>
      </w:tr>
      <w:tr w:rsidR="00744C1F" w:rsidRPr="001F7F3C">
        <w:tc>
          <w:tcPr>
            <w:tcW w:w="5148" w:type="dxa"/>
          </w:tcPr>
          <w:p w:rsidR="00744C1F" w:rsidRPr="001F7F3C" w:rsidRDefault="00C74960" w:rsidP="00744C1F">
            <w:pPr>
              <w:pStyle w:val="ListParagraph"/>
              <w:numPr>
                <w:ilvl w:val="0"/>
                <w:numId w:val="2"/>
              </w:numPr>
            </w:pPr>
            <w:r w:rsidRPr="001F7F3C">
              <w:t>Income in past 30 days</w:t>
            </w:r>
          </w:p>
        </w:tc>
        <w:tc>
          <w:tcPr>
            <w:tcW w:w="2790" w:type="dxa"/>
          </w:tcPr>
          <w:p w:rsidR="00744C1F" w:rsidRPr="001F7F3C" w:rsidRDefault="00C74960" w:rsidP="00744C1F">
            <w:r w:rsidRPr="001F7F3C">
              <w:t>$1,013</w:t>
            </w:r>
          </w:p>
        </w:tc>
        <w:tc>
          <w:tcPr>
            <w:tcW w:w="3078" w:type="dxa"/>
          </w:tcPr>
          <w:p w:rsidR="00744C1F" w:rsidRPr="001F7F3C" w:rsidRDefault="00C74960" w:rsidP="00744C1F">
            <w:r w:rsidRPr="001F7F3C">
              <w:t>$200</w:t>
            </w:r>
          </w:p>
        </w:tc>
      </w:tr>
      <w:tr w:rsidR="00744C1F" w:rsidRPr="001F7F3C">
        <w:tc>
          <w:tcPr>
            <w:tcW w:w="5148" w:type="dxa"/>
          </w:tcPr>
          <w:p w:rsidR="00744C1F" w:rsidRPr="001F7F3C" w:rsidRDefault="00C74960" w:rsidP="00744C1F">
            <w:pPr>
              <w:pStyle w:val="ListParagraph"/>
              <w:numPr>
                <w:ilvl w:val="0"/>
                <w:numId w:val="2"/>
              </w:numPr>
            </w:pPr>
            <w:r w:rsidRPr="001F7F3C">
              <w:t>Housing past 30 days</w:t>
            </w:r>
          </w:p>
        </w:tc>
        <w:tc>
          <w:tcPr>
            <w:tcW w:w="2790" w:type="dxa"/>
          </w:tcPr>
          <w:p w:rsidR="00744C1F" w:rsidRPr="001F7F3C" w:rsidRDefault="00C74960" w:rsidP="00744C1F">
            <w:r w:rsidRPr="001F7F3C">
              <w:t>65.6% own home</w:t>
            </w:r>
          </w:p>
        </w:tc>
        <w:tc>
          <w:tcPr>
            <w:tcW w:w="3078" w:type="dxa"/>
          </w:tcPr>
          <w:p w:rsidR="00744C1F" w:rsidRPr="001F7F3C" w:rsidRDefault="00C74960" w:rsidP="00744C1F">
            <w:r w:rsidRPr="001F7F3C">
              <w:t>70.8% homeless</w:t>
            </w:r>
          </w:p>
        </w:tc>
      </w:tr>
      <w:tr w:rsidR="00744C1F" w:rsidRPr="001F7F3C">
        <w:tc>
          <w:tcPr>
            <w:tcW w:w="5148" w:type="dxa"/>
          </w:tcPr>
          <w:p w:rsidR="00744C1F" w:rsidRPr="001F7F3C" w:rsidRDefault="00BB7E80" w:rsidP="00744C1F">
            <w:pPr>
              <w:pStyle w:val="ListParagraph"/>
              <w:numPr>
                <w:ilvl w:val="0"/>
                <w:numId w:val="2"/>
              </w:numPr>
            </w:pPr>
            <w:r w:rsidRPr="001F7F3C">
              <w:t>Criminal Justice involved - Prison</w:t>
            </w:r>
          </w:p>
        </w:tc>
        <w:tc>
          <w:tcPr>
            <w:tcW w:w="2790" w:type="dxa"/>
          </w:tcPr>
          <w:p w:rsidR="00744C1F" w:rsidRPr="001F7F3C" w:rsidRDefault="00BB7E80" w:rsidP="00744C1F">
            <w:r w:rsidRPr="001F7F3C">
              <w:t>40.0%</w:t>
            </w:r>
          </w:p>
        </w:tc>
        <w:tc>
          <w:tcPr>
            <w:tcW w:w="3078" w:type="dxa"/>
          </w:tcPr>
          <w:p w:rsidR="00744C1F" w:rsidRPr="001F7F3C" w:rsidRDefault="00BB7E80" w:rsidP="00744C1F">
            <w:r w:rsidRPr="001F7F3C">
              <w:t>83.2%</w:t>
            </w:r>
          </w:p>
        </w:tc>
      </w:tr>
      <w:tr w:rsidR="00744C1F" w:rsidRPr="001F7F3C">
        <w:tc>
          <w:tcPr>
            <w:tcW w:w="5148" w:type="dxa"/>
          </w:tcPr>
          <w:p w:rsidR="00744C1F" w:rsidRPr="001F7F3C" w:rsidRDefault="00BB7E80" w:rsidP="00744C1F">
            <w:pPr>
              <w:pStyle w:val="ListParagraph"/>
              <w:numPr>
                <w:ilvl w:val="0"/>
                <w:numId w:val="2"/>
              </w:numPr>
            </w:pPr>
            <w:r w:rsidRPr="001F7F3C">
              <w:t>Military: Era served</w:t>
            </w:r>
          </w:p>
        </w:tc>
        <w:tc>
          <w:tcPr>
            <w:tcW w:w="2790" w:type="dxa"/>
          </w:tcPr>
          <w:p w:rsidR="00744C1F" w:rsidRPr="001F7F3C" w:rsidRDefault="00BB7E80" w:rsidP="00744C1F">
            <w:r w:rsidRPr="001F7F3C">
              <w:t>46.9% Afg</w:t>
            </w:r>
            <w:r w:rsidR="006629CC" w:rsidRPr="001F7F3C">
              <w:t>hanistan</w:t>
            </w:r>
            <w:r w:rsidRPr="001F7F3C">
              <w:t>/Iraq</w:t>
            </w:r>
          </w:p>
        </w:tc>
        <w:tc>
          <w:tcPr>
            <w:tcW w:w="3078" w:type="dxa"/>
          </w:tcPr>
          <w:p w:rsidR="00744C1F" w:rsidRPr="001F7F3C" w:rsidRDefault="00BB7E80" w:rsidP="00744C1F">
            <w:r w:rsidRPr="001F7F3C">
              <w:t>88.4% Vietnam/post-Vietnam</w:t>
            </w:r>
          </w:p>
        </w:tc>
      </w:tr>
      <w:tr w:rsidR="00744C1F" w:rsidRPr="001F7F3C">
        <w:tc>
          <w:tcPr>
            <w:tcW w:w="5148" w:type="dxa"/>
          </w:tcPr>
          <w:p w:rsidR="00744C1F" w:rsidRPr="001F7F3C" w:rsidRDefault="006629CC" w:rsidP="00744C1F">
            <w:pPr>
              <w:pStyle w:val="ListParagraph"/>
              <w:numPr>
                <w:ilvl w:val="0"/>
                <w:numId w:val="2"/>
              </w:numPr>
            </w:pPr>
            <w:r w:rsidRPr="001F7F3C">
              <w:t>Civilian</w:t>
            </w:r>
          </w:p>
        </w:tc>
        <w:tc>
          <w:tcPr>
            <w:tcW w:w="2790" w:type="dxa"/>
          </w:tcPr>
          <w:p w:rsidR="00744C1F" w:rsidRPr="001F7F3C" w:rsidRDefault="006629CC" w:rsidP="00744C1F">
            <w:r w:rsidRPr="001F7F3C">
              <w:t>25.0%</w:t>
            </w:r>
          </w:p>
        </w:tc>
        <w:tc>
          <w:tcPr>
            <w:tcW w:w="3078" w:type="dxa"/>
          </w:tcPr>
          <w:p w:rsidR="00744C1F" w:rsidRPr="001F7F3C" w:rsidRDefault="006629CC" w:rsidP="00744C1F">
            <w:r w:rsidRPr="001F7F3C">
              <w:t>0.0%</w:t>
            </w:r>
          </w:p>
        </w:tc>
      </w:tr>
      <w:tr w:rsidR="006629CC" w:rsidRPr="001F7F3C">
        <w:tc>
          <w:tcPr>
            <w:tcW w:w="5148" w:type="dxa"/>
          </w:tcPr>
          <w:p w:rsidR="006629CC" w:rsidRPr="001F7F3C" w:rsidRDefault="00B32FDF" w:rsidP="00744C1F">
            <w:pPr>
              <w:pStyle w:val="ListParagraph"/>
              <w:numPr>
                <w:ilvl w:val="0"/>
                <w:numId w:val="2"/>
              </w:numPr>
            </w:pPr>
            <w:r w:rsidRPr="001F7F3C">
              <w:t>Non-military Trauma&lt;18</w:t>
            </w:r>
          </w:p>
        </w:tc>
        <w:tc>
          <w:tcPr>
            <w:tcW w:w="2790" w:type="dxa"/>
          </w:tcPr>
          <w:p w:rsidR="006629CC" w:rsidRPr="001F7F3C" w:rsidRDefault="00B32FDF" w:rsidP="00744C1F">
            <w:r w:rsidRPr="001F7F3C">
              <w:t>81.3%</w:t>
            </w:r>
          </w:p>
        </w:tc>
        <w:tc>
          <w:tcPr>
            <w:tcW w:w="3078" w:type="dxa"/>
          </w:tcPr>
          <w:p w:rsidR="006629CC" w:rsidRPr="001F7F3C" w:rsidRDefault="00B32FDF" w:rsidP="00744C1F">
            <w:r w:rsidRPr="001F7F3C">
              <w:t>43.2%</w:t>
            </w:r>
          </w:p>
        </w:tc>
      </w:tr>
      <w:tr w:rsidR="00B32FDF" w:rsidRPr="001F7F3C">
        <w:tc>
          <w:tcPr>
            <w:tcW w:w="5148" w:type="dxa"/>
          </w:tcPr>
          <w:p w:rsidR="00B32FDF" w:rsidRPr="001F7F3C" w:rsidRDefault="0080542D" w:rsidP="00744C1F">
            <w:pPr>
              <w:pStyle w:val="ListParagraph"/>
              <w:numPr>
                <w:ilvl w:val="0"/>
                <w:numId w:val="2"/>
              </w:numPr>
            </w:pPr>
            <w:r w:rsidRPr="001F7F3C">
              <w:t>Alcohol problems</w:t>
            </w:r>
          </w:p>
        </w:tc>
        <w:tc>
          <w:tcPr>
            <w:tcW w:w="2790" w:type="dxa"/>
          </w:tcPr>
          <w:p w:rsidR="00B32FDF" w:rsidRPr="001F7F3C" w:rsidRDefault="0080542D" w:rsidP="00744C1F">
            <w:r w:rsidRPr="001F7F3C">
              <w:t>46.9%</w:t>
            </w:r>
          </w:p>
        </w:tc>
        <w:tc>
          <w:tcPr>
            <w:tcW w:w="3078" w:type="dxa"/>
          </w:tcPr>
          <w:p w:rsidR="00B32FDF" w:rsidRPr="001F7F3C" w:rsidRDefault="0080542D" w:rsidP="00744C1F">
            <w:r w:rsidRPr="001F7F3C">
              <w:t>76.0%</w:t>
            </w:r>
          </w:p>
        </w:tc>
      </w:tr>
      <w:tr w:rsidR="00B32FDF" w:rsidRPr="001F7F3C">
        <w:tc>
          <w:tcPr>
            <w:tcW w:w="5148" w:type="dxa"/>
          </w:tcPr>
          <w:p w:rsidR="00B32FDF" w:rsidRPr="001F7F3C" w:rsidRDefault="0080542D" w:rsidP="00744C1F">
            <w:pPr>
              <w:pStyle w:val="ListParagraph"/>
              <w:numPr>
                <w:ilvl w:val="0"/>
                <w:numId w:val="2"/>
              </w:numPr>
            </w:pPr>
            <w:r w:rsidRPr="001F7F3C">
              <w:t>Past SUD treatment</w:t>
            </w:r>
          </w:p>
        </w:tc>
        <w:tc>
          <w:tcPr>
            <w:tcW w:w="2790" w:type="dxa"/>
          </w:tcPr>
          <w:p w:rsidR="00B32FDF" w:rsidRPr="001F7F3C" w:rsidRDefault="0080542D" w:rsidP="00744C1F">
            <w:r w:rsidRPr="001F7F3C">
              <w:t>13.9%</w:t>
            </w:r>
          </w:p>
        </w:tc>
        <w:tc>
          <w:tcPr>
            <w:tcW w:w="3078" w:type="dxa"/>
          </w:tcPr>
          <w:p w:rsidR="00B32FDF" w:rsidRPr="001F7F3C" w:rsidRDefault="0080542D" w:rsidP="00744C1F">
            <w:r w:rsidRPr="001F7F3C">
              <w:t>30.2%</w:t>
            </w:r>
          </w:p>
        </w:tc>
      </w:tr>
    </w:tbl>
    <w:p w:rsidR="001C0457" w:rsidRDefault="001C0457" w:rsidP="00744C1F">
      <w:pPr>
        <w:spacing w:after="0"/>
        <w:rPr>
          <w:b/>
        </w:rPr>
      </w:pPr>
    </w:p>
    <w:p w:rsidR="001C0457" w:rsidRDefault="001C0457">
      <w:pPr>
        <w:rPr>
          <w:b/>
        </w:rPr>
      </w:pPr>
      <w:r>
        <w:rPr>
          <w:b/>
        </w:rPr>
        <w:br w:type="page"/>
      </w:r>
    </w:p>
    <w:p w:rsidR="00E50CFE" w:rsidRPr="00744C1F" w:rsidRDefault="001C0457" w:rsidP="00744C1F">
      <w:pPr>
        <w:spacing w:after="0"/>
        <w:rPr>
          <w:b/>
        </w:rPr>
      </w:pPr>
      <w:r>
        <w:rPr>
          <w:b/>
        </w:rPr>
        <w:t xml:space="preserve">Table 2. Comparison of Trauma-specific </w:t>
      </w:r>
      <w:r w:rsidR="001F7F3C">
        <w:rPr>
          <w:b/>
        </w:rPr>
        <w:t>I</w:t>
      </w:r>
      <w:r>
        <w:rPr>
          <w:b/>
        </w:rPr>
        <w:t>nterventions</w:t>
      </w:r>
    </w:p>
    <w:tbl>
      <w:tblPr>
        <w:tblStyle w:val="TableGrid"/>
        <w:tblW w:w="0" w:type="auto"/>
        <w:tblLook w:val="00BF"/>
      </w:tblPr>
      <w:tblGrid>
        <w:gridCol w:w="5508"/>
        <w:gridCol w:w="5508"/>
      </w:tblGrid>
      <w:tr w:rsidR="001C0457" w:rsidRPr="001F7F3C">
        <w:tc>
          <w:tcPr>
            <w:tcW w:w="5508" w:type="dxa"/>
          </w:tcPr>
          <w:p w:rsidR="001C0457" w:rsidRPr="001F7F3C" w:rsidRDefault="001C0457" w:rsidP="001C0457">
            <w:pPr>
              <w:pStyle w:val="ListParagraph"/>
              <w:ind w:left="0"/>
              <w:jc w:val="center"/>
              <w:rPr>
                <w:b/>
              </w:rPr>
            </w:pPr>
            <w:r w:rsidRPr="001F7F3C">
              <w:rPr>
                <w:b/>
              </w:rPr>
              <w:t>TAMAR – Rhode Island</w:t>
            </w:r>
          </w:p>
        </w:tc>
        <w:tc>
          <w:tcPr>
            <w:tcW w:w="5508" w:type="dxa"/>
          </w:tcPr>
          <w:p w:rsidR="001C0457" w:rsidRPr="001F7F3C" w:rsidRDefault="001C0457" w:rsidP="001C0457">
            <w:pPr>
              <w:pStyle w:val="ListParagraph"/>
              <w:ind w:left="0"/>
              <w:jc w:val="center"/>
              <w:rPr>
                <w:b/>
              </w:rPr>
            </w:pPr>
            <w:r w:rsidRPr="001F7F3C">
              <w:rPr>
                <w:b/>
              </w:rPr>
              <w:t>Seeking Safety - Texas</w:t>
            </w:r>
          </w:p>
        </w:tc>
      </w:tr>
      <w:tr w:rsidR="001C0457">
        <w:tc>
          <w:tcPr>
            <w:tcW w:w="5508" w:type="dxa"/>
          </w:tcPr>
          <w:p w:rsidR="001C0457" w:rsidRDefault="001F7F3C" w:rsidP="00F64BC8">
            <w:pPr>
              <w:pStyle w:val="ListParagraph"/>
              <w:ind w:left="0"/>
            </w:pPr>
            <w:r>
              <w:t>SAMHSA Promising Practice</w:t>
            </w:r>
          </w:p>
        </w:tc>
        <w:tc>
          <w:tcPr>
            <w:tcW w:w="5508" w:type="dxa"/>
          </w:tcPr>
          <w:p w:rsidR="001C0457" w:rsidRDefault="001F7F3C" w:rsidP="00F64BC8">
            <w:pPr>
              <w:pStyle w:val="ListParagraph"/>
              <w:ind w:left="0"/>
            </w:pPr>
            <w:r>
              <w:t>SAMHSA EBP</w:t>
            </w:r>
          </w:p>
        </w:tc>
      </w:tr>
      <w:tr w:rsidR="001C0457">
        <w:tc>
          <w:tcPr>
            <w:tcW w:w="5508" w:type="dxa"/>
          </w:tcPr>
          <w:p w:rsidR="001C0457" w:rsidRDefault="00C138CB" w:rsidP="00F64BC8">
            <w:pPr>
              <w:pStyle w:val="ListParagraph"/>
              <w:ind w:left="0"/>
            </w:pPr>
            <w:r>
              <w:t>Psycho-educational group, originally for women in prison</w:t>
            </w:r>
          </w:p>
        </w:tc>
        <w:tc>
          <w:tcPr>
            <w:tcW w:w="5508" w:type="dxa"/>
          </w:tcPr>
          <w:p w:rsidR="001C0457" w:rsidRDefault="00C138CB" w:rsidP="00F64BC8">
            <w:pPr>
              <w:pStyle w:val="ListParagraph"/>
              <w:ind w:left="0"/>
            </w:pPr>
            <w:r>
              <w:t>Effective for veterans</w:t>
            </w:r>
          </w:p>
        </w:tc>
      </w:tr>
      <w:tr w:rsidR="001C0457">
        <w:tc>
          <w:tcPr>
            <w:tcW w:w="5508" w:type="dxa"/>
          </w:tcPr>
          <w:p w:rsidR="001C0457" w:rsidRDefault="00C138CB" w:rsidP="00F64BC8">
            <w:pPr>
              <w:pStyle w:val="ListParagraph"/>
              <w:ind w:left="0"/>
            </w:pPr>
            <w:r>
              <w:t>Originally 12 “modules” in the manual</w:t>
            </w:r>
          </w:p>
        </w:tc>
        <w:tc>
          <w:tcPr>
            <w:tcW w:w="5508" w:type="dxa"/>
          </w:tcPr>
          <w:p w:rsidR="001C0457" w:rsidRDefault="00C138CB" w:rsidP="00F64BC8">
            <w:pPr>
              <w:pStyle w:val="ListParagraph"/>
              <w:ind w:left="0"/>
            </w:pPr>
            <w:r>
              <w:t>25 possible topics in no specified order</w:t>
            </w:r>
          </w:p>
        </w:tc>
      </w:tr>
      <w:tr w:rsidR="00C138CB">
        <w:tc>
          <w:tcPr>
            <w:tcW w:w="11016" w:type="dxa"/>
            <w:gridSpan w:val="2"/>
          </w:tcPr>
          <w:p w:rsidR="00C138CB" w:rsidRPr="00C138CB" w:rsidRDefault="00C138CB" w:rsidP="00F64BC8">
            <w:pPr>
              <w:pStyle w:val="ListParagraph"/>
              <w:ind w:left="0"/>
              <w:rPr>
                <w:b/>
              </w:rPr>
            </w:pPr>
            <w:r w:rsidRPr="00C138CB">
              <w:rPr>
                <w:b/>
              </w:rPr>
              <w:t>PILOT SITE</w:t>
            </w:r>
            <w:r>
              <w:rPr>
                <w:b/>
              </w:rPr>
              <w:t>:</w:t>
            </w:r>
          </w:p>
        </w:tc>
      </w:tr>
      <w:tr w:rsidR="00C138CB">
        <w:tc>
          <w:tcPr>
            <w:tcW w:w="5508" w:type="dxa"/>
          </w:tcPr>
          <w:p w:rsidR="00C138CB" w:rsidRDefault="00C138CB" w:rsidP="00F64BC8">
            <w:pPr>
              <w:pStyle w:val="ListParagraph"/>
              <w:ind w:left="0"/>
            </w:pPr>
            <w:r>
              <w:t>Adapted for male veterans</w:t>
            </w:r>
          </w:p>
        </w:tc>
        <w:tc>
          <w:tcPr>
            <w:tcW w:w="5508" w:type="dxa"/>
          </w:tcPr>
          <w:p w:rsidR="00C138CB" w:rsidRDefault="00C138CB" w:rsidP="00F64BC8">
            <w:pPr>
              <w:pStyle w:val="ListParagraph"/>
              <w:ind w:left="0"/>
            </w:pPr>
            <w:r>
              <w:t>In the service continuum, at CHCS since 2009</w:t>
            </w:r>
          </w:p>
        </w:tc>
      </w:tr>
      <w:tr w:rsidR="00C138CB">
        <w:tc>
          <w:tcPr>
            <w:tcW w:w="5508" w:type="dxa"/>
          </w:tcPr>
          <w:p w:rsidR="00C138CB" w:rsidRDefault="00C138CB" w:rsidP="00F64BC8">
            <w:pPr>
              <w:pStyle w:val="ListParagraph"/>
              <w:ind w:left="0"/>
            </w:pPr>
            <w:r>
              <w:t>Re-adapted for female non-veterans</w:t>
            </w:r>
          </w:p>
        </w:tc>
        <w:tc>
          <w:tcPr>
            <w:tcW w:w="5508" w:type="dxa"/>
          </w:tcPr>
          <w:p w:rsidR="00C138CB" w:rsidRDefault="00C138CB" w:rsidP="00F64BC8">
            <w:pPr>
              <w:pStyle w:val="ListParagraph"/>
              <w:ind w:left="0"/>
            </w:pPr>
            <w:r>
              <w:t>1</w:t>
            </w:r>
            <w:r w:rsidRPr="00C138CB">
              <w:rPr>
                <w:vertAlign w:val="superscript"/>
              </w:rPr>
              <w:t>st</w:t>
            </w:r>
            <w:r>
              <w:t xml:space="preserve"> 8 topics, then p to 3 more at counselor’s discretion</w:t>
            </w:r>
          </w:p>
        </w:tc>
      </w:tr>
      <w:tr w:rsidR="00C138CB">
        <w:tc>
          <w:tcPr>
            <w:tcW w:w="5508" w:type="dxa"/>
          </w:tcPr>
          <w:p w:rsidR="00C138CB" w:rsidRDefault="00C138CB" w:rsidP="00F64BC8">
            <w:pPr>
              <w:pStyle w:val="ListParagraph"/>
              <w:ind w:left="0"/>
            </w:pPr>
            <w:r>
              <w:t>11 sessions, very different order from original (7/11 similar content)</w:t>
            </w:r>
          </w:p>
        </w:tc>
        <w:tc>
          <w:tcPr>
            <w:tcW w:w="5508" w:type="dxa"/>
          </w:tcPr>
          <w:p w:rsidR="00C138CB" w:rsidRDefault="00EE1109" w:rsidP="00F64BC8">
            <w:pPr>
              <w:pStyle w:val="ListParagraph"/>
              <w:ind w:left="0"/>
            </w:pPr>
            <w:r>
              <w:t>Topic order varies based on the group</w:t>
            </w:r>
          </w:p>
        </w:tc>
      </w:tr>
      <w:tr w:rsidR="00EE1109">
        <w:tc>
          <w:tcPr>
            <w:tcW w:w="11016" w:type="dxa"/>
            <w:gridSpan w:val="2"/>
          </w:tcPr>
          <w:p w:rsidR="00EE1109" w:rsidRPr="00EE1109" w:rsidRDefault="00EE1109" w:rsidP="00F64BC8">
            <w:pPr>
              <w:pStyle w:val="ListParagraph"/>
              <w:ind w:left="0"/>
              <w:rPr>
                <w:b/>
              </w:rPr>
            </w:pPr>
            <w:r w:rsidRPr="00EE1109">
              <w:rPr>
                <w:b/>
              </w:rPr>
              <w:t>Statistics on use at the pilot site:</w:t>
            </w:r>
          </w:p>
        </w:tc>
      </w:tr>
      <w:tr w:rsidR="00EE1109">
        <w:tc>
          <w:tcPr>
            <w:tcW w:w="5508" w:type="dxa"/>
          </w:tcPr>
          <w:p w:rsidR="00EE1109" w:rsidRDefault="00EE1109" w:rsidP="00F64BC8">
            <w:pPr>
              <w:pStyle w:val="ListParagraph"/>
              <w:ind w:left="0"/>
            </w:pPr>
            <w:r>
              <w:t>11 completed groups of men (veterans) means size=4.7</w:t>
            </w:r>
          </w:p>
        </w:tc>
        <w:tc>
          <w:tcPr>
            <w:tcW w:w="5508" w:type="dxa"/>
          </w:tcPr>
          <w:p w:rsidR="00EE1109" w:rsidRDefault="00EE1109" w:rsidP="00F64BC8">
            <w:pPr>
              <w:pStyle w:val="ListParagraph"/>
              <w:ind w:left="0"/>
            </w:pPr>
            <w:r>
              <w:t>Separate groups for men and women</w:t>
            </w:r>
          </w:p>
        </w:tc>
      </w:tr>
      <w:tr w:rsidR="00EE1109">
        <w:tc>
          <w:tcPr>
            <w:tcW w:w="5508" w:type="dxa"/>
          </w:tcPr>
          <w:p w:rsidR="00EE1109" w:rsidRDefault="00EE1109" w:rsidP="00F64BC8">
            <w:pPr>
              <w:pStyle w:val="ListParagraph"/>
              <w:ind w:left="0"/>
            </w:pPr>
            <w:r>
              <w:t>4 completed groups of women, mean size=2.8</w:t>
            </w:r>
          </w:p>
        </w:tc>
        <w:tc>
          <w:tcPr>
            <w:tcW w:w="5508" w:type="dxa"/>
          </w:tcPr>
          <w:p w:rsidR="00EE1109" w:rsidRDefault="00EE1109" w:rsidP="00F64BC8">
            <w:pPr>
              <w:pStyle w:val="ListParagraph"/>
              <w:ind w:left="0"/>
            </w:pPr>
            <w:r>
              <w:t>Seeking safety part of service array</w:t>
            </w:r>
          </w:p>
        </w:tc>
      </w:tr>
      <w:tr w:rsidR="00EE1109">
        <w:tc>
          <w:tcPr>
            <w:tcW w:w="5508" w:type="dxa"/>
          </w:tcPr>
          <w:p w:rsidR="00EE1109" w:rsidRDefault="00EE1109" w:rsidP="00F64BC8">
            <w:pPr>
              <w:pStyle w:val="ListParagraph"/>
              <w:ind w:left="0"/>
            </w:pPr>
          </w:p>
        </w:tc>
        <w:tc>
          <w:tcPr>
            <w:tcW w:w="5508" w:type="dxa"/>
          </w:tcPr>
          <w:p w:rsidR="00EE1109" w:rsidRDefault="00EE1109" w:rsidP="00F64BC8">
            <w:pPr>
              <w:pStyle w:val="ListParagraph"/>
              <w:ind w:left="0"/>
            </w:pPr>
            <w:r>
              <w:t>84.1% report SS participation</w:t>
            </w:r>
          </w:p>
        </w:tc>
      </w:tr>
      <w:tr w:rsidR="00EE1109">
        <w:tc>
          <w:tcPr>
            <w:tcW w:w="5508" w:type="dxa"/>
          </w:tcPr>
          <w:p w:rsidR="00EE1109" w:rsidRDefault="00EE1109" w:rsidP="00F64BC8">
            <w:pPr>
              <w:pStyle w:val="ListParagraph"/>
              <w:ind w:left="0"/>
            </w:pPr>
          </w:p>
        </w:tc>
        <w:tc>
          <w:tcPr>
            <w:tcW w:w="5508" w:type="dxa"/>
          </w:tcPr>
          <w:p w:rsidR="00EE1109" w:rsidRDefault="00EE1109" w:rsidP="00F64BC8">
            <w:pPr>
              <w:pStyle w:val="ListParagraph"/>
              <w:ind w:left="0"/>
            </w:pPr>
            <w:r>
              <w:t>54 veterans (56%) SS “Brief Intervention</w:t>
            </w:r>
          </w:p>
        </w:tc>
      </w:tr>
      <w:tr w:rsidR="005360EE">
        <w:tc>
          <w:tcPr>
            <w:tcW w:w="11016" w:type="dxa"/>
            <w:gridSpan w:val="2"/>
          </w:tcPr>
          <w:p w:rsidR="005360EE" w:rsidRPr="005360EE" w:rsidRDefault="005360EE" w:rsidP="00F64BC8">
            <w:pPr>
              <w:pStyle w:val="ListParagraph"/>
              <w:ind w:left="0"/>
              <w:rPr>
                <w:b/>
              </w:rPr>
            </w:pPr>
            <w:r w:rsidRPr="005360EE">
              <w:rPr>
                <w:b/>
              </w:rPr>
              <w:t>Fidelity</w:t>
            </w:r>
            <w:r>
              <w:rPr>
                <w:b/>
              </w:rPr>
              <w:t>?</w:t>
            </w:r>
          </w:p>
        </w:tc>
      </w:tr>
      <w:tr w:rsidR="005360EE">
        <w:tc>
          <w:tcPr>
            <w:tcW w:w="5508" w:type="dxa"/>
          </w:tcPr>
          <w:p w:rsidR="005360EE" w:rsidRDefault="005360EE" w:rsidP="00F64BC8">
            <w:pPr>
              <w:pStyle w:val="ListParagraph"/>
              <w:ind w:left="0"/>
            </w:pPr>
            <w:r>
              <w:t>One primary provider/trainer</w:t>
            </w:r>
          </w:p>
        </w:tc>
        <w:tc>
          <w:tcPr>
            <w:tcW w:w="5508" w:type="dxa"/>
          </w:tcPr>
          <w:p w:rsidR="005360EE" w:rsidRDefault="005360EE" w:rsidP="00F64BC8">
            <w:pPr>
              <w:pStyle w:val="ListParagraph"/>
              <w:ind w:left="0"/>
            </w:pPr>
            <w:r>
              <w:t>One primary trainer, many providers</w:t>
            </w:r>
          </w:p>
        </w:tc>
      </w:tr>
      <w:tr w:rsidR="005360EE">
        <w:tc>
          <w:tcPr>
            <w:tcW w:w="5508" w:type="dxa"/>
          </w:tcPr>
          <w:p w:rsidR="005360EE" w:rsidRDefault="008229F9" w:rsidP="00F64BC8">
            <w:pPr>
              <w:pStyle w:val="ListParagraph"/>
              <w:ind w:left="0"/>
            </w:pPr>
            <w:r>
              <w:t>Manual revision with staff and VA expert help</w:t>
            </w:r>
          </w:p>
        </w:tc>
        <w:tc>
          <w:tcPr>
            <w:tcW w:w="5508" w:type="dxa"/>
          </w:tcPr>
          <w:p w:rsidR="005360EE" w:rsidRDefault="008229F9" w:rsidP="00F64BC8">
            <w:pPr>
              <w:pStyle w:val="ListParagraph"/>
              <w:ind w:left="0"/>
            </w:pPr>
            <w:r>
              <w:t>Fidelity checks, not part of evaluation</w:t>
            </w:r>
          </w:p>
        </w:tc>
      </w:tr>
      <w:tr w:rsidR="005360EE">
        <w:tc>
          <w:tcPr>
            <w:tcW w:w="5508" w:type="dxa"/>
          </w:tcPr>
          <w:p w:rsidR="005360EE" w:rsidRDefault="008229F9" w:rsidP="00F64BC8">
            <w:pPr>
              <w:pStyle w:val="ListParagraph"/>
              <w:ind w:left="0"/>
            </w:pPr>
            <w:r>
              <w:t>Manual-based checklists in development for post-session ratings</w:t>
            </w:r>
          </w:p>
        </w:tc>
        <w:tc>
          <w:tcPr>
            <w:tcW w:w="5508" w:type="dxa"/>
          </w:tcPr>
          <w:p w:rsidR="005360EE" w:rsidRDefault="008229F9" w:rsidP="00F64BC8">
            <w:pPr>
              <w:pStyle w:val="ListParagraph"/>
              <w:ind w:left="0"/>
            </w:pPr>
            <w:r>
              <w:t>Reduction in trauma symptoms at 12 months</w:t>
            </w:r>
          </w:p>
        </w:tc>
      </w:tr>
    </w:tbl>
    <w:p w:rsidR="00E50CFE" w:rsidRDefault="00E50CFE" w:rsidP="00F64BC8">
      <w:pPr>
        <w:pStyle w:val="ListParagraph"/>
        <w:spacing w:after="0"/>
        <w:ind w:left="0"/>
      </w:pPr>
    </w:p>
    <w:p w:rsidR="00FA3293" w:rsidRDefault="00FA3293" w:rsidP="00F64BC8">
      <w:pPr>
        <w:pStyle w:val="ListParagraph"/>
        <w:spacing w:after="0"/>
        <w:ind w:left="0"/>
        <w:rPr>
          <w:b/>
        </w:rPr>
      </w:pPr>
      <w:r w:rsidRPr="00FA3293">
        <w:rPr>
          <w:b/>
        </w:rPr>
        <w:t>Evaluation Challenges</w:t>
      </w:r>
      <w:r>
        <w:rPr>
          <w:b/>
        </w:rPr>
        <w:t>:</w:t>
      </w:r>
    </w:p>
    <w:p w:rsidR="00FA3293" w:rsidRPr="00FA3293" w:rsidRDefault="00FA3293" w:rsidP="00FA3293">
      <w:pPr>
        <w:pStyle w:val="ListParagraph"/>
        <w:numPr>
          <w:ilvl w:val="0"/>
          <w:numId w:val="2"/>
        </w:numPr>
        <w:spacing w:after="0"/>
        <w:rPr>
          <w:b/>
        </w:rPr>
      </w:pPr>
      <w:r w:rsidRPr="00FA3293">
        <w:rPr>
          <w:b/>
        </w:rPr>
        <w:t>Within-site variations</w:t>
      </w:r>
    </w:p>
    <w:p w:rsidR="00FA3293" w:rsidRPr="00FA3293" w:rsidRDefault="00FA3293" w:rsidP="00FA3293">
      <w:pPr>
        <w:pStyle w:val="ListParagraph"/>
        <w:numPr>
          <w:ilvl w:val="1"/>
          <w:numId w:val="2"/>
        </w:numPr>
        <w:spacing w:after="0"/>
        <w:rPr>
          <w:b/>
        </w:rPr>
      </w:pPr>
      <w:r w:rsidRPr="00FA3293">
        <w:rPr>
          <w:b/>
        </w:rPr>
        <w:t>“Psycho-educational” can blur into clinical</w:t>
      </w:r>
    </w:p>
    <w:p w:rsidR="00FA3293" w:rsidRPr="00FA3293" w:rsidRDefault="00FA3293" w:rsidP="00FA3293">
      <w:pPr>
        <w:pStyle w:val="ListParagraph"/>
        <w:numPr>
          <w:ilvl w:val="1"/>
          <w:numId w:val="2"/>
        </w:numPr>
        <w:spacing w:after="0"/>
        <w:rPr>
          <w:b/>
        </w:rPr>
      </w:pPr>
      <w:r w:rsidRPr="00FA3293">
        <w:rPr>
          <w:b/>
        </w:rPr>
        <w:t>Composition of individual groups</w:t>
      </w:r>
    </w:p>
    <w:p w:rsidR="00FA3293" w:rsidRPr="00FA3293" w:rsidRDefault="00FA3293" w:rsidP="00FA3293">
      <w:pPr>
        <w:pStyle w:val="ListParagraph"/>
        <w:numPr>
          <w:ilvl w:val="1"/>
          <w:numId w:val="2"/>
        </w:numPr>
        <w:spacing w:after="0"/>
        <w:rPr>
          <w:b/>
        </w:rPr>
      </w:pPr>
      <w:r w:rsidRPr="00FA3293">
        <w:rPr>
          <w:b/>
        </w:rPr>
        <w:t>Clinician expertise varies (substance abuse, trauma, psycho-ed)</w:t>
      </w:r>
    </w:p>
    <w:p w:rsidR="00FA3293" w:rsidRPr="00FA3293" w:rsidRDefault="00FA3293" w:rsidP="00FA3293">
      <w:pPr>
        <w:pStyle w:val="ListParagraph"/>
        <w:numPr>
          <w:ilvl w:val="1"/>
          <w:numId w:val="2"/>
        </w:numPr>
        <w:spacing w:after="0"/>
        <w:rPr>
          <w:b/>
        </w:rPr>
      </w:pPr>
      <w:r w:rsidRPr="00FA3293">
        <w:rPr>
          <w:b/>
        </w:rPr>
        <w:t>Works in progress, adapting to clients, settings, court requirements</w:t>
      </w:r>
    </w:p>
    <w:p w:rsidR="00FA3293" w:rsidRDefault="00FA3293" w:rsidP="00FA3293">
      <w:pPr>
        <w:pStyle w:val="ListParagraph"/>
        <w:numPr>
          <w:ilvl w:val="1"/>
          <w:numId w:val="2"/>
        </w:numPr>
        <w:spacing w:after="0"/>
        <w:rPr>
          <w:b/>
        </w:rPr>
      </w:pPr>
      <w:r w:rsidRPr="00FA3293">
        <w:rPr>
          <w:b/>
        </w:rPr>
        <w:t>Fidelity is best seen as a way to track evolution and variation</w:t>
      </w:r>
    </w:p>
    <w:p w:rsidR="000B339A" w:rsidRPr="000B339A" w:rsidRDefault="000B339A" w:rsidP="000B339A">
      <w:pPr>
        <w:pStyle w:val="ListParagraph"/>
        <w:numPr>
          <w:ilvl w:val="0"/>
          <w:numId w:val="2"/>
        </w:numPr>
        <w:spacing w:after="0"/>
        <w:rPr>
          <w:b/>
        </w:rPr>
      </w:pPr>
      <w:r w:rsidRPr="000B339A">
        <w:rPr>
          <w:rFonts w:ascii="新細明體" w:eastAsia="新細明體" w:hAnsi="新細明體" w:cs="新細明體" w:hint="eastAsia"/>
          <w:b/>
        </w:rPr>
        <w:t></w:t>
      </w:r>
      <w:r w:rsidRPr="000B339A">
        <w:rPr>
          <w:b/>
        </w:rPr>
        <w:t>Cross-site variations</w:t>
      </w:r>
    </w:p>
    <w:p w:rsidR="000B339A" w:rsidRPr="000B339A" w:rsidRDefault="000B339A" w:rsidP="000B339A">
      <w:pPr>
        <w:pStyle w:val="ListParagraph"/>
        <w:numPr>
          <w:ilvl w:val="1"/>
          <w:numId w:val="2"/>
        </w:numPr>
        <w:spacing w:after="0"/>
        <w:rPr>
          <w:b/>
        </w:rPr>
      </w:pPr>
      <w:r w:rsidRPr="000B339A">
        <w:rPr>
          <w:b/>
        </w:rPr>
        <w:t xml:space="preserve">Trauma-informed vs. Trauma-specific </w:t>
      </w:r>
    </w:p>
    <w:p w:rsidR="000B339A" w:rsidRPr="000B339A" w:rsidRDefault="000B339A" w:rsidP="000B339A">
      <w:pPr>
        <w:pStyle w:val="ListParagraph"/>
        <w:numPr>
          <w:ilvl w:val="1"/>
          <w:numId w:val="2"/>
        </w:numPr>
        <w:spacing w:after="0"/>
        <w:rPr>
          <w:b/>
        </w:rPr>
      </w:pPr>
      <w:r w:rsidRPr="000B339A">
        <w:rPr>
          <w:b/>
        </w:rPr>
        <w:t>Different Trauma-specific interventions</w:t>
      </w:r>
    </w:p>
    <w:p w:rsidR="000B339A" w:rsidRPr="000B339A" w:rsidRDefault="000B339A" w:rsidP="000B339A">
      <w:pPr>
        <w:pStyle w:val="ListParagraph"/>
        <w:numPr>
          <w:ilvl w:val="1"/>
          <w:numId w:val="2"/>
        </w:numPr>
        <w:spacing w:after="0"/>
        <w:rPr>
          <w:b/>
        </w:rPr>
      </w:pPr>
      <w:r w:rsidRPr="000B339A">
        <w:rPr>
          <w:b/>
        </w:rPr>
        <w:t>Trauma-specific intervention offered at different Intercept points</w:t>
      </w:r>
    </w:p>
    <w:p w:rsidR="000B339A" w:rsidRPr="000B339A" w:rsidRDefault="000B339A" w:rsidP="000B339A">
      <w:pPr>
        <w:spacing w:after="0"/>
        <w:rPr>
          <w:b/>
        </w:rPr>
      </w:pPr>
      <w:r w:rsidRPr="000B339A">
        <w:rPr>
          <w:b/>
        </w:rPr>
        <w:t>Ability to draw conclusions:</w:t>
      </w:r>
    </w:p>
    <w:p w:rsidR="000B339A" w:rsidRPr="000B339A" w:rsidRDefault="000B339A" w:rsidP="000B339A">
      <w:pPr>
        <w:pStyle w:val="ListParagraph"/>
        <w:numPr>
          <w:ilvl w:val="0"/>
          <w:numId w:val="2"/>
        </w:numPr>
        <w:spacing w:after="0"/>
        <w:rPr>
          <w:b/>
        </w:rPr>
      </w:pPr>
      <w:r w:rsidRPr="000B339A">
        <w:rPr>
          <w:b/>
        </w:rPr>
        <w:t>The independent variable is not well specified</w:t>
      </w:r>
    </w:p>
    <w:p w:rsidR="000B339A" w:rsidRPr="000B339A" w:rsidRDefault="000B339A" w:rsidP="000B339A">
      <w:pPr>
        <w:pStyle w:val="ListParagraph"/>
        <w:numPr>
          <w:ilvl w:val="0"/>
          <w:numId w:val="2"/>
        </w:numPr>
        <w:spacing w:after="0"/>
        <w:rPr>
          <w:b/>
        </w:rPr>
      </w:pPr>
      <w:r w:rsidRPr="000B339A">
        <w:rPr>
          <w:b/>
        </w:rPr>
        <w:t xml:space="preserve">The population is remarkably varied </w:t>
      </w:r>
    </w:p>
    <w:p w:rsidR="000B339A" w:rsidRPr="000B339A" w:rsidRDefault="000B339A" w:rsidP="000B339A">
      <w:pPr>
        <w:pStyle w:val="ListParagraph"/>
        <w:numPr>
          <w:ilvl w:val="1"/>
          <w:numId w:val="2"/>
        </w:numPr>
        <w:spacing w:after="0"/>
        <w:rPr>
          <w:b/>
        </w:rPr>
      </w:pPr>
      <w:r w:rsidRPr="000B339A">
        <w:rPr>
          <w:b/>
        </w:rPr>
        <w:t>from state to state</w:t>
      </w:r>
    </w:p>
    <w:p w:rsidR="000B339A" w:rsidRPr="000B339A" w:rsidRDefault="000B339A" w:rsidP="000B339A">
      <w:pPr>
        <w:pStyle w:val="ListParagraph"/>
        <w:numPr>
          <w:ilvl w:val="1"/>
          <w:numId w:val="2"/>
        </w:numPr>
        <w:spacing w:after="0"/>
        <w:rPr>
          <w:b/>
        </w:rPr>
      </w:pPr>
      <w:r w:rsidRPr="000B339A">
        <w:rPr>
          <w:b/>
        </w:rPr>
        <w:t xml:space="preserve">within states across implementation sites </w:t>
      </w:r>
    </w:p>
    <w:p w:rsidR="000B339A" w:rsidRPr="000B339A" w:rsidRDefault="000B339A" w:rsidP="000B339A">
      <w:pPr>
        <w:pStyle w:val="ListParagraph"/>
        <w:numPr>
          <w:ilvl w:val="1"/>
          <w:numId w:val="2"/>
        </w:numPr>
        <w:spacing w:after="0"/>
        <w:rPr>
          <w:b/>
        </w:rPr>
      </w:pPr>
      <w:r w:rsidRPr="000B339A">
        <w:rPr>
          <w:b/>
        </w:rPr>
        <w:t>looking at moderating effects will be difficult, as the treatment is so various and client-responsive</w:t>
      </w:r>
    </w:p>
    <w:p w:rsidR="000B339A" w:rsidRPr="000B339A" w:rsidRDefault="000B339A" w:rsidP="000B339A">
      <w:pPr>
        <w:pStyle w:val="ListParagraph"/>
        <w:numPr>
          <w:ilvl w:val="0"/>
          <w:numId w:val="2"/>
        </w:numPr>
        <w:spacing w:after="0"/>
        <w:rPr>
          <w:b/>
        </w:rPr>
      </w:pPr>
      <w:r w:rsidRPr="000B339A">
        <w:rPr>
          <w:b/>
        </w:rPr>
        <w:t xml:space="preserve">Everyone cares about the “priority to vets” but </w:t>
      </w:r>
    </w:p>
    <w:p w:rsidR="000B339A" w:rsidRPr="000B339A" w:rsidRDefault="000B339A" w:rsidP="000B339A">
      <w:pPr>
        <w:pStyle w:val="ListParagraph"/>
        <w:numPr>
          <w:ilvl w:val="1"/>
          <w:numId w:val="2"/>
        </w:numPr>
        <w:spacing w:after="0"/>
        <w:rPr>
          <w:b/>
        </w:rPr>
      </w:pPr>
      <w:r w:rsidRPr="000B339A">
        <w:rPr>
          <w:b/>
        </w:rPr>
        <w:t>What about women? How is this going for them?</w:t>
      </w:r>
    </w:p>
    <w:p w:rsidR="000B339A" w:rsidRPr="000B339A" w:rsidRDefault="000B339A" w:rsidP="000B339A">
      <w:pPr>
        <w:pStyle w:val="ListParagraph"/>
        <w:numPr>
          <w:ilvl w:val="1"/>
          <w:numId w:val="2"/>
        </w:numPr>
        <w:spacing w:after="0"/>
        <w:rPr>
          <w:b/>
        </w:rPr>
      </w:pPr>
      <w:r w:rsidRPr="000B339A">
        <w:rPr>
          <w:b/>
        </w:rPr>
        <w:t>Does the positive commitment to vets lead to over-promising?</w:t>
      </w:r>
    </w:p>
    <w:p w:rsidR="00FA3293" w:rsidRPr="000B339A" w:rsidRDefault="000B339A" w:rsidP="000B339A">
      <w:pPr>
        <w:spacing w:after="0"/>
        <w:rPr>
          <w:b/>
        </w:rPr>
      </w:pPr>
      <w:r>
        <w:rPr>
          <w:b/>
        </w:rPr>
        <w:t>Bottom line:  in situations like these process evaluation is at least as important as outcome evaluation (what happens, when, to whom?)</w:t>
      </w:r>
    </w:p>
    <w:p w:rsidR="00102DFD" w:rsidRPr="00FA3293" w:rsidRDefault="00102DFD" w:rsidP="00F64BC8">
      <w:pPr>
        <w:pStyle w:val="ListParagraph"/>
        <w:spacing w:after="0"/>
        <w:ind w:left="0"/>
        <w:rPr>
          <w:b/>
        </w:rPr>
      </w:pPr>
    </w:p>
    <w:sectPr w:rsidR="00102DFD" w:rsidRPr="00FA3293" w:rsidSect="00E50CFE">
      <w:type w:val="continuous"/>
      <w:pgSz w:w="12240" w:h="15840"/>
      <w:pgMar w:top="1152" w:right="720" w:bottom="1152"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F9" w:rsidRDefault="008229F9" w:rsidP="001875D3">
      <w:pPr>
        <w:spacing w:after="0" w:line="240" w:lineRule="auto"/>
      </w:pPr>
      <w:r>
        <w:separator/>
      </w:r>
    </w:p>
  </w:endnote>
  <w:endnote w:type="continuationSeparator" w:id="0">
    <w:p w:rsidR="008229F9" w:rsidRDefault="008229F9" w:rsidP="00187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F9" w:rsidRDefault="008229F9" w:rsidP="001875D3">
      <w:pPr>
        <w:spacing w:after="0" w:line="240" w:lineRule="auto"/>
      </w:pPr>
      <w:r>
        <w:separator/>
      </w:r>
    </w:p>
  </w:footnote>
  <w:footnote w:type="continuationSeparator" w:id="0">
    <w:p w:rsidR="008229F9" w:rsidRDefault="008229F9" w:rsidP="001875D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075"/>
    <w:multiLevelType w:val="hybridMultilevel"/>
    <w:tmpl w:val="0172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4D9E"/>
    <w:multiLevelType w:val="hybridMultilevel"/>
    <w:tmpl w:val="EB66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855FF9"/>
    <w:rsid w:val="00034733"/>
    <w:rsid w:val="00035DE3"/>
    <w:rsid w:val="0006707C"/>
    <w:rsid w:val="000B339A"/>
    <w:rsid w:val="000B5F98"/>
    <w:rsid w:val="000D782D"/>
    <w:rsid w:val="000D7EEF"/>
    <w:rsid w:val="00102C45"/>
    <w:rsid w:val="00102DFD"/>
    <w:rsid w:val="001053F4"/>
    <w:rsid w:val="00112B3F"/>
    <w:rsid w:val="00122EA4"/>
    <w:rsid w:val="00137B42"/>
    <w:rsid w:val="00151B87"/>
    <w:rsid w:val="001875D3"/>
    <w:rsid w:val="001A0992"/>
    <w:rsid w:val="001C0457"/>
    <w:rsid w:val="001E3C21"/>
    <w:rsid w:val="001F7F3C"/>
    <w:rsid w:val="002871B8"/>
    <w:rsid w:val="0032362B"/>
    <w:rsid w:val="003450CD"/>
    <w:rsid w:val="003475C6"/>
    <w:rsid w:val="00360A39"/>
    <w:rsid w:val="00360B91"/>
    <w:rsid w:val="003F53AC"/>
    <w:rsid w:val="003F56BE"/>
    <w:rsid w:val="004069D0"/>
    <w:rsid w:val="00420943"/>
    <w:rsid w:val="004332C6"/>
    <w:rsid w:val="00502371"/>
    <w:rsid w:val="0053203B"/>
    <w:rsid w:val="005360EE"/>
    <w:rsid w:val="0056165E"/>
    <w:rsid w:val="005D66DA"/>
    <w:rsid w:val="006462C4"/>
    <w:rsid w:val="00654876"/>
    <w:rsid w:val="006629CC"/>
    <w:rsid w:val="006B40E7"/>
    <w:rsid w:val="006C586D"/>
    <w:rsid w:val="007240EC"/>
    <w:rsid w:val="007300F2"/>
    <w:rsid w:val="00744C1F"/>
    <w:rsid w:val="00767527"/>
    <w:rsid w:val="00780CAE"/>
    <w:rsid w:val="0080542D"/>
    <w:rsid w:val="0081584A"/>
    <w:rsid w:val="008229F9"/>
    <w:rsid w:val="00837C05"/>
    <w:rsid w:val="00855FF9"/>
    <w:rsid w:val="00873F3C"/>
    <w:rsid w:val="00887691"/>
    <w:rsid w:val="00915A83"/>
    <w:rsid w:val="00915EB5"/>
    <w:rsid w:val="00916557"/>
    <w:rsid w:val="009314EF"/>
    <w:rsid w:val="00954E35"/>
    <w:rsid w:val="00994D69"/>
    <w:rsid w:val="009A2A30"/>
    <w:rsid w:val="009D11E2"/>
    <w:rsid w:val="009F6B07"/>
    <w:rsid w:val="00A81783"/>
    <w:rsid w:val="00AB5752"/>
    <w:rsid w:val="00AE27BD"/>
    <w:rsid w:val="00B32A71"/>
    <w:rsid w:val="00B32FDF"/>
    <w:rsid w:val="00B46055"/>
    <w:rsid w:val="00BB67AF"/>
    <w:rsid w:val="00BB7E80"/>
    <w:rsid w:val="00C138CB"/>
    <w:rsid w:val="00C14291"/>
    <w:rsid w:val="00C16DFA"/>
    <w:rsid w:val="00C74960"/>
    <w:rsid w:val="00CB0FB1"/>
    <w:rsid w:val="00D24FC6"/>
    <w:rsid w:val="00D34C1C"/>
    <w:rsid w:val="00D34D3A"/>
    <w:rsid w:val="00D45EC3"/>
    <w:rsid w:val="00D71F15"/>
    <w:rsid w:val="00D94B20"/>
    <w:rsid w:val="00DB3E96"/>
    <w:rsid w:val="00DB4BAD"/>
    <w:rsid w:val="00DD46BF"/>
    <w:rsid w:val="00E01964"/>
    <w:rsid w:val="00E50CFE"/>
    <w:rsid w:val="00E952E7"/>
    <w:rsid w:val="00EB5DAA"/>
    <w:rsid w:val="00EE1109"/>
    <w:rsid w:val="00EF0CAE"/>
    <w:rsid w:val="00F64BC8"/>
    <w:rsid w:val="00F97B21"/>
    <w:rsid w:val="00FA2289"/>
    <w:rsid w:val="00FA3293"/>
    <w:rsid w:val="00FB01A1"/>
    <w:rsid w:val="00FB76F3"/>
    <w:rsid w:val="00FC348E"/>
    <w:rsid w:val="00FE5043"/>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CD"/>
  </w:style>
  <w:style w:type="paragraph" w:styleId="Heading1">
    <w:name w:val="heading 1"/>
    <w:basedOn w:val="Normal"/>
    <w:next w:val="Normal"/>
    <w:link w:val="Heading1Char"/>
    <w:qFormat/>
    <w:rsid w:val="00E50CFE"/>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875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5D3"/>
  </w:style>
  <w:style w:type="paragraph" w:styleId="Footer">
    <w:name w:val="footer"/>
    <w:basedOn w:val="Normal"/>
    <w:link w:val="FooterChar"/>
    <w:uiPriority w:val="99"/>
    <w:unhideWhenUsed/>
    <w:rsid w:val="00187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D3"/>
  </w:style>
  <w:style w:type="paragraph" w:styleId="BalloonText">
    <w:name w:val="Balloon Text"/>
    <w:basedOn w:val="Normal"/>
    <w:link w:val="BalloonTextChar"/>
    <w:uiPriority w:val="99"/>
    <w:semiHidden/>
    <w:unhideWhenUsed/>
    <w:rsid w:val="0018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D3"/>
    <w:rPr>
      <w:rFonts w:ascii="Tahoma" w:hAnsi="Tahoma" w:cs="Tahoma"/>
      <w:sz w:val="16"/>
      <w:szCs w:val="16"/>
    </w:rPr>
  </w:style>
  <w:style w:type="character" w:styleId="Hyperlink">
    <w:name w:val="Hyperlink"/>
    <w:basedOn w:val="DefaultParagraphFont"/>
    <w:uiPriority w:val="99"/>
    <w:unhideWhenUsed/>
    <w:rsid w:val="00887691"/>
    <w:rPr>
      <w:color w:val="0000FF" w:themeColor="hyperlink"/>
      <w:u w:val="single"/>
    </w:rPr>
  </w:style>
  <w:style w:type="paragraph" w:styleId="NormalWeb">
    <w:name w:val="Normal (Web)"/>
    <w:basedOn w:val="Normal"/>
    <w:uiPriority w:val="99"/>
    <w:unhideWhenUsed/>
    <w:rsid w:val="0081584A"/>
    <w:pPr>
      <w:spacing w:before="100" w:beforeAutospacing="1" w:after="100" w:afterAutospacing="1" w:line="240" w:lineRule="auto"/>
    </w:pPr>
    <w:rPr>
      <w:rFonts w:ascii="Arial" w:eastAsia="Times New Roman" w:hAnsi="Arial" w:cs="Arial"/>
      <w:color w:val="996633"/>
      <w:sz w:val="20"/>
      <w:szCs w:val="20"/>
    </w:rPr>
  </w:style>
  <w:style w:type="paragraph" w:styleId="ListParagraph">
    <w:name w:val="List Paragraph"/>
    <w:basedOn w:val="Normal"/>
    <w:uiPriority w:val="34"/>
    <w:qFormat/>
    <w:rsid w:val="00915A83"/>
    <w:pPr>
      <w:ind w:left="720"/>
      <w:contextualSpacing/>
    </w:pPr>
  </w:style>
  <w:style w:type="character" w:customStyle="1" w:styleId="Heading1Char">
    <w:name w:val="Heading 1 Char"/>
    <w:basedOn w:val="DefaultParagraphFont"/>
    <w:link w:val="Heading1"/>
    <w:rsid w:val="00E50CFE"/>
    <w:rPr>
      <w:rFonts w:ascii="Times New Roman" w:eastAsia="Times New Roman" w:hAnsi="Times New Roman" w:cs="Times New Roman"/>
      <w:i/>
      <w:sz w:val="24"/>
      <w:szCs w:val="20"/>
    </w:rPr>
  </w:style>
  <w:style w:type="table" w:styleId="TableGrid">
    <w:name w:val="Table Grid"/>
    <w:basedOn w:val="TableNormal"/>
    <w:uiPriority w:val="59"/>
    <w:rsid w:val="00744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324665">
      <w:bodyDiv w:val="1"/>
      <w:marLeft w:val="0"/>
      <w:marRight w:val="0"/>
      <w:marTop w:val="0"/>
      <w:marBottom w:val="0"/>
      <w:divBdr>
        <w:top w:val="none" w:sz="0" w:space="0" w:color="auto"/>
        <w:left w:val="none" w:sz="0" w:space="0" w:color="auto"/>
        <w:bottom w:val="none" w:sz="0" w:space="0" w:color="auto"/>
        <w:right w:val="none" w:sz="0" w:space="0" w:color="auto"/>
      </w:divBdr>
      <w:divsChild>
        <w:div w:id="714935476">
          <w:marLeft w:val="432"/>
          <w:marRight w:val="0"/>
          <w:marTop w:val="0"/>
          <w:marBottom w:val="0"/>
          <w:divBdr>
            <w:top w:val="none" w:sz="0" w:space="0" w:color="auto"/>
            <w:left w:val="none" w:sz="0" w:space="0" w:color="auto"/>
            <w:bottom w:val="none" w:sz="0" w:space="0" w:color="auto"/>
            <w:right w:val="none" w:sz="0" w:space="0" w:color="auto"/>
          </w:divBdr>
        </w:div>
        <w:div w:id="1337881732">
          <w:marLeft w:val="432"/>
          <w:marRight w:val="0"/>
          <w:marTop w:val="0"/>
          <w:marBottom w:val="0"/>
          <w:divBdr>
            <w:top w:val="none" w:sz="0" w:space="0" w:color="auto"/>
            <w:left w:val="none" w:sz="0" w:space="0" w:color="auto"/>
            <w:bottom w:val="none" w:sz="0" w:space="0" w:color="auto"/>
            <w:right w:val="none" w:sz="0" w:space="0" w:color="auto"/>
          </w:divBdr>
        </w:div>
        <w:div w:id="439379124">
          <w:marLeft w:val="864"/>
          <w:marRight w:val="0"/>
          <w:marTop w:val="0"/>
          <w:marBottom w:val="0"/>
          <w:divBdr>
            <w:top w:val="none" w:sz="0" w:space="0" w:color="auto"/>
            <w:left w:val="none" w:sz="0" w:space="0" w:color="auto"/>
            <w:bottom w:val="none" w:sz="0" w:space="0" w:color="auto"/>
            <w:right w:val="none" w:sz="0" w:space="0" w:color="auto"/>
          </w:divBdr>
        </w:div>
        <w:div w:id="1691443740">
          <w:marLeft w:val="864"/>
          <w:marRight w:val="0"/>
          <w:marTop w:val="0"/>
          <w:marBottom w:val="0"/>
          <w:divBdr>
            <w:top w:val="none" w:sz="0" w:space="0" w:color="auto"/>
            <w:left w:val="none" w:sz="0" w:space="0" w:color="auto"/>
            <w:bottom w:val="none" w:sz="0" w:space="0" w:color="auto"/>
            <w:right w:val="none" w:sz="0" w:space="0" w:color="auto"/>
          </w:divBdr>
        </w:div>
        <w:div w:id="1712993705">
          <w:marLeft w:val="864"/>
          <w:marRight w:val="0"/>
          <w:marTop w:val="0"/>
          <w:marBottom w:val="0"/>
          <w:divBdr>
            <w:top w:val="none" w:sz="0" w:space="0" w:color="auto"/>
            <w:left w:val="none" w:sz="0" w:space="0" w:color="auto"/>
            <w:bottom w:val="none" w:sz="0" w:space="0" w:color="auto"/>
            <w:right w:val="none" w:sz="0" w:space="0" w:color="auto"/>
          </w:divBdr>
        </w:div>
        <w:div w:id="851646012">
          <w:marLeft w:val="432"/>
          <w:marRight w:val="0"/>
          <w:marTop w:val="0"/>
          <w:marBottom w:val="0"/>
          <w:divBdr>
            <w:top w:val="none" w:sz="0" w:space="0" w:color="auto"/>
            <w:left w:val="none" w:sz="0" w:space="0" w:color="auto"/>
            <w:bottom w:val="none" w:sz="0" w:space="0" w:color="auto"/>
            <w:right w:val="none" w:sz="0" w:space="0" w:color="auto"/>
          </w:divBdr>
        </w:div>
        <w:div w:id="236980787">
          <w:marLeft w:val="864"/>
          <w:marRight w:val="0"/>
          <w:marTop w:val="0"/>
          <w:marBottom w:val="0"/>
          <w:divBdr>
            <w:top w:val="none" w:sz="0" w:space="0" w:color="auto"/>
            <w:left w:val="none" w:sz="0" w:space="0" w:color="auto"/>
            <w:bottom w:val="none" w:sz="0" w:space="0" w:color="auto"/>
            <w:right w:val="none" w:sz="0" w:space="0" w:color="auto"/>
          </w:divBdr>
        </w:div>
        <w:div w:id="1332610263">
          <w:marLeft w:val="864"/>
          <w:marRight w:val="0"/>
          <w:marTop w:val="0"/>
          <w:marBottom w:val="0"/>
          <w:divBdr>
            <w:top w:val="none" w:sz="0" w:space="0" w:color="auto"/>
            <w:left w:val="none" w:sz="0" w:space="0" w:color="auto"/>
            <w:bottom w:val="none" w:sz="0" w:space="0" w:color="auto"/>
            <w:right w:val="none" w:sz="0" w:space="0" w:color="auto"/>
          </w:divBdr>
        </w:div>
      </w:divsChild>
    </w:div>
    <w:div w:id="1095589236">
      <w:bodyDiv w:val="1"/>
      <w:marLeft w:val="0"/>
      <w:marRight w:val="0"/>
      <w:marTop w:val="0"/>
      <w:marBottom w:val="0"/>
      <w:divBdr>
        <w:top w:val="none" w:sz="0" w:space="0" w:color="auto"/>
        <w:left w:val="none" w:sz="0" w:space="0" w:color="auto"/>
        <w:bottom w:val="none" w:sz="0" w:space="0" w:color="auto"/>
        <w:right w:val="none" w:sz="0" w:space="0" w:color="auto"/>
      </w:divBdr>
    </w:div>
    <w:div w:id="1212230846">
      <w:bodyDiv w:val="1"/>
      <w:marLeft w:val="0"/>
      <w:marRight w:val="0"/>
      <w:marTop w:val="0"/>
      <w:marBottom w:val="0"/>
      <w:divBdr>
        <w:top w:val="none" w:sz="0" w:space="0" w:color="auto"/>
        <w:left w:val="none" w:sz="0" w:space="0" w:color="auto"/>
        <w:bottom w:val="none" w:sz="0" w:space="0" w:color="auto"/>
        <w:right w:val="none" w:sz="0" w:space="0" w:color="auto"/>
      </w:divBdr>
    </w:div>
    <w:div w:id="1273636689">
      <w:bodyDiv w:val="1"/>
      <w:marLeft w:val="0"/>
      <w:marRight w:val="0"/>
      <w:marTop w:val="0"/>
      <w:marBottom w:val="0"/>
      <w:divBdr>
        <w:top w:val="none" w:sz="0" w:space="0" w:color="auto"/>
        <w:left w:val="none" w:sz="0" w:space="0" w:color="auto"/>
        <w:bottom w:val="none" w:sz="0" w:space="0" w:color="auto"/>
        <w:right w:val="none" w:sz="0" w:space="0" w:color="auto"/>
      </w:divBdr>
      <w:divsChild>
        <w:div w:id="198206622">
          <w:marLeft w:val="432"/>
          <w:marRight w:val="0"/>
          <w:marTop w:val="0"/>
          <w:marBottom w:val="0"/>
          <w:divBdr>
            <w:top w:val="none" w:sz="0" w:space="0" w:color="auto"/>
            <w:left w:val="none" w:sz="0" w:space="0" w:color="auto"/>
            <w:bottom w:val="none" w:sz="0" w:space="0" w:color="auto"/>
            <w:right w:val="none" w:sz="0" w:space="0" w:color="auto"/>
          </w:divBdr>
        </w:div>
        <w:div w:id="438571874">
          <w:marLeft w:val="864"/>
          <w:marRight w:val="0"/>
          <w:marTop w:val="0"/>
          <w:marBottom w:val="0"/>
          <w:divBdr>
            <w:top w:val="none" w:sz="0" w:space="0" w:color="auto"/>
            <w:left w:val="none" w:sz="0" w:space="0" w:color="auto"/>
            <w:bottom w:val="none" w:sz="0" w:space="0" w:color="auto"/>
            <w:right w:val="none" w:sz="0" w:space="0" w:color="auto"/>
          </w:divBdr>
        </w:div>
        <w:div w:id="627052837">
          <w:marLeft w:val="864"/>
          <w:marRight w:val="0"/>
          <w:marTop w:val="0"/>
          <w:marBottom w:val="0"/>
          <w:divBdr>
            <w:top w:val="none" w:sz="0" w:space="0" w:color="auto"/>
            <w:left w:val="none" w:sz="0" w:space="0" w:color="auto"/>
            <w:bottom w:val="none" w:sz="0" w:space="0" w:color="auto"/>
            <w:right w:val="none" w:sz="0" w:space="0" w:color="auto"/>
          </w:divBdr>
        </w:div>
        <w:div w:id="1482194559">
          <w:marLeft w:val="864"/>
          <w:marRight w:val="0"/>
          <w:marTop w:val="0"/>
          <w:marBottom w:val="0"/>
          <w:divBdr>
            <w:top w:val="none" w:sz="0" w:space="0" w:color="auto"/>
            <w:left w:val="none" w:sz="0" w:space="0" w:color="auto"/>
            <w:bottom w:val="none" w:sz="0" w:space="0" w:color="auto"/>
            <w:right w:val="none" w:sz="0" w:space="0" w:color="auto"/>
          </w:divBdr>
        </w:div>
        <w:div w:id="1926038168">
          <w:marLeft w:val="864"/>
          <w:marRight w:val="0"/>
          <w:marTop w:val="0"/>
          <w:marBottom w:val="0"/>
          <w:divBdr>
            <w:top w:val="none" w:sz="0" w:space="0" w:color="auto"/>
            <w:left w:val="none" w:sz="0" w:space="0" w:color="auto"/>
            <w:bottom w:val="none" w:sz="0" w:space="0" w:color="auto"/>
            <w:right w:val="none" w:sz="0" w:space="0" w:color="auto"/>
          </w:divBdr>
        </w:div>
        <w:div w:id="204756616">
          <w:marLeft w:val="864"/>
          <w:marRight w:val="0"/>
          <w:marTop w:val="0"/>
          <w:marBottom w:val="0"/>
          <w:divBdr>
            <w:top w:val="none" w:sz="0" w:space="0" w:color="auto"/>
            <w:left w:val="none" w:sz="0" w:space="0" w:color="auto"/>
            <w:bottom w:val="none" w:sz="0" w:space="0" w:color="auto"/>
            <w:right w:val="none" w:sz="0" w:space="0" w:color="auto"/>
          </w:divBdr>
        </w:div>
      </w:divsChild>
    </w:div>
    <w:div w:id="1383823557">
      <w:bodyDiv w:val="1"/>
      <w:marLeft w:val="0"/>
      <w:marRight w:val="0"/>
      <w:marTop w:val="0"/>
      <w:marBottom w:val="0"/>
      <w:divBdr>
        <w:top w:val="none" w:sz="0" w:space="0" w:color="auto"/>
        <w:left w:val="none" w:sz="0" w:space="0" w:color="auto"/>
        <w:bottom w:val="none" w:sz="0" w:space="0" w:color="auto"/>
        <w:right w:val="none" w:sz="0" w:space="0" w:color="auto"/>
      </w:divBdr>
      <w:divsChild>
        <w:div w:id="506557006">
          <w:marLeft w:val="432"/>
          <w:marRight w:val="0"/>
          <w:marTop w:val="0"/>
          <w:marBottom w:val="0"/>
          <w:divBdr>
            <w:top w:val="none" w:sz="0" w:space="0" w:color="auto"/>
            <w:left w:val="none" w:sz="0" w:space="0" w:color="auto"/>
            <w:bottom w:val="none" w:sz="0" w:space="0" w:color="auto"/>
            <w:right w:val="none" w:sz="0" w:space="0" w:color="auto"/>
          </w:divBdr>
        </w:div>
        <w:div w:id="943265455">
          <w:marLeft w:val="864"/>
          <w:marRight w:val="0"/>
          <w:marTop w:val="0"/>
          <w:marBottom w:val="0"/>
          <w:divBdr>
            <w:top w:val="none" w:sz="0" w:space="0" w:color="auto"/>
            <w:left w:val="none" w:sz="0" w:space="0" w:color="auto"/>
            <w:bottom w:val="none" w:sz="0" w:space="0" w:color="auto"/>
            <w:right w:val="none" w:sz="0" w:space="0" w:color="auto"/>
          </w:divBdr>
        </w:div>
        <w:div w:id="1253510086">
          <w:marLeft w:val="864"/>
          <w:marRight w:val="0"/>
          <w:marTop w:val="0"/>
          <w:marBottom w:val="0"/>
          <w:divBdr>
            <w:top w:val="none" w:sz="0" w:space="0" w:color="auto"/>
            <w:left w:val="none" w:sz="0" w:space="0" w:color="auto"/>
            <w:bottom w:val="none" w:sz="0" w:space="0" w:color="auto"/>
            <w:right w:val="none" w:sz="0" w:space="0" w:color="auto"/>
          </w:divBdr>
        </w:div>
        <w:div w:id="747923589">
          <w:marLeft w:val="864"/>
          <w:marRight w:val="0"/>
          <w:marTop w:val="0"/>
          <w:marBottom w:val="0"/>
          <w:divBdr>
            <w:top w:val="none" w:sz="0" w:space="0" w:color="auto"/>
            <w:left w:val="none" w:sz="0" w:space="0" w:color="auto"/>
            <w:bottom w:val="none" w:sz="0" w:space="0" w:color="auto"/>
            <w:right w:val="none" w:sz="0" w:space="0" w:color="auto"/>
          </w:divBdr>
        </w:div>
      </w:divsChild>
    </w:div>
    <w:div w:id="17605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yperlink" Target="mailto:stacey.manser@austin.utexas.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rickards</dc:creator>
  <cp:lastModifiedBy>John Stevenson</cp:lastModifiedBy>
  <cp:revision>2</cp:revision>
  <dcterms:created xsi:type="dcterms:W3CDTF">2012-11-01T18:21:00Z</dcterms:created>
  <dcterms:modified xsi:type="dcterms:W3CDTF">2012-11-01T18:21:00Z</dcterms:modified>
</cp:coreProperties>
</file>