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DFA" w:rsidRPr="00FA7738" w:rsidRDefault="00827DFA" w:rsidP="00827DFA">
      <w:pPr>
        <w:jc w:val="center"/>
        <w:rPr>
          <w:rFonts w:ascii="Times New Roman" w:hAnsi="Times New Roman" w:cs="Times New Roman"/>
          <w:b/>
        </w:rPr>
      </w:pPr>
      <w:r w:rsidRPr="00FA7738">
        <w:rPr>
          <w:rFonts w:ascii="Times New Roman" w:hAnsi="Times New Roman" w:cs="Times New Roman"/>
          <w:b/>
        </w:rPr>
        <w:t xml:space="preserve">Translating New Knowledge from Technology Based Research Projects: </w:t>
      </w:r>
    </w:p>
    <w:p w:rsidR="00827DFA" w:rsidRPr="00FA7738" w:rsidRDefault="00827DFA" w:rsidP="00827DFA">
      <w:pPr>
        <w:jc w:val="center"/>
        <w:rPr>
          <w:rFonts w:ascii="Times New Roman" w:hAnsi="Times New Roman" w:cs="Times New Roman"/>
          <w:b/>
        </w:rPr>
      </w:pPr>
      <w:r w:rsidRPr="00FA7738">
        <w:rPr>
          <w:rFonts w:ascii="Times New Roman" w:hAnsi="Times New Roman" w:cs="Times New Roman"/>
          <w:b/>
        </w:rPr>
        <w:t>Randomized Controlled Study of an Intervention</w:t>
      </w:r>
      <w:r w:rsidRPr="00FA7738">
        <w:rPr>
          <w:rStyle w:val="FootnoteReference"/>
          <w:rFonts w:ascii="Times New Roman" w:hAnsi="Times New Roman" w:cs="Times New Roman"/>
          <w:b/>
        </w:rPr>
        <w:footnoteReference w:id="1"/>
      </w:r>
      <w:r w:rsidRPr="00FA7738">
        <w:rPr>
          <w:rFonts w:ascii="Times New Roman" w:hAnsi="Times New Roman" w:cs="Times New Roman"/>
          <w:b/>
        </w:rPr>
        <w:t xml:space="preserve"> </w:t>
      </w:r>
    </w:p>
    <w:p w:rsidR="00827DFA" w:rsidRPr="00FA7738" w:rsidRDefault="00827DFA" w:rsidP="00827DFA">
      <w:pPr>
        <w:jc w:val="center"/>
        <w:rPr>
          <w:rFonts w:ascii="Times New Roman" w:hAnsi="Times New Roman" w:cs="Times New Roman"/>
          <w:i/>
        </w:rPr>
      </w:pPr>
      <w:r w:rsidRPr="00FA7738">
        <w:rPr>
          <w:rFonts w:ascii="Times New Roman" w:hAnsi="Times New Roman" w:cs="Times New Roman"/>
          <w:i/>
        </w:rPr>
        <w:t>Vathsala I. Stone</w:t>
      </w:r>
      <w:r w:rsidRPr="00FA7738">
        <w:rPr>
          <w:rStyle w:val="FootnoteReference"/>
          <w:rFonts w:ascii="Times New Roman" w:hAnsi="Times New Roman" w:cs="Times New Roman"/>
          <w:i/>
        </w:rPr>
        <w:footnoteReference w:id="2"/>
      </w:r>
      <w:r w:rsidRPr="00FA7738">
        <w:rPr>
          <w:rFonts w:ascii="Times New Roman" w:hAnsi="Times New Roman" w:cs="Times New Roman"/>
          <w:i/>
        </w:rPr>
        <w:t xml:space="preserve"> and Machiko Tomita</w:t>
      </w:r>
      <w:r w:rsidRPr="00FA7738">
        <w:rPr>
          <w:rStyle w:val="FootnoteReference"/>
          <w:rFonts w:ascii="Times New Roman" w:hAnsi="Times New Roman" w:cs="Times New Roman"/>
          <w:i/>
        </w:rPr>
        <w:footnoteReference w:id="3"/>
      </w:r>
    </w:p>
    <w:p w:rsidR="00827DFA" w:rsidRPr="00FA7738" w:rsidRDefault="00827DFA" w:rsidP="00827DFA">
      <w:pPr>
        <w:ind w:left="0"/>
        <w:rPr>
          <w:rFonts w:ascii="Times New Roman" w:hAnsi="Times New Roman" w:cs="Times New Roman"/>
          <w:b/>
        </w:rPr>
      </w:pPr>
      <w:r w:rsidRPr="00FA7738">
        <w:rPr>
          <w:rFonts w:ascii="Times New Roman" w:hAnsi="Times New Roman" w:cs="Times New Roman"/>
          <w:b/>
        </w:rPr>
        <w:t>Abstract:</w:t>
      </w:r>
    </w:p>
    <w:p w:rsidR="00827DFA" w:rsidRPr="00FA7738" w:rsidRDefault="00827DFA" w:rsidP="00827DFA">
      <w:pPr>
        <w:spacing w:line="360" w:lineRule="auto"/>
        <w:ind w:left="0" w:firstLine="720"/>
        <w:rPr>
          <w:rFonts w:ascii="Times New Roman" w:hAnsi="Times New Roman" w:cs="Times New Roman"/>
          <w:i/>
        </w:rPr>
      </w:pPr>
      <w:r w:rsidRPr="00FA7738">
        <w:rPr>
          <w:rFonts w:ascii="Times New Roman" w:hAnsi="Times New Roman" w:cs="Times New Roman"/>
          <w:i/>
        </w:rPr>
        <w:t>This paper presents the methodology and results of a Knowledge Translation (KT) Intervention study recently completed at the University at Buffalo. KT responds to a growing concern about obtaining beneficial social impact from research that is sponsored through public funding. In essence, it upholds knowledge utilization as a desired research outcome. This study addressed new knowledge generated by technology based research and development (R&amp;D) projects related to Augmentative and Alternative (AAC) Communication, and evaluated a KT strategy for its effects on five different types of participant stakeholders. Using a randomized controlled design, and employing the Level of Knowledge Use Survey (LOKUS) to measure effects, the study compared changes in participants’ levels of K use under 3 experimental conditions - exposure to K through tailored and targeted dissemination of knowledge (TTDK)</w:t>
      </w:r>
      <w:r w:rsidR="00FA7738" w:rsidRPr="00FA7738">
        <w:rPr>
          <w:rFonts w:ascii="Times New Roman" w:hAnsi="Times New Roman" w:cs="Times New Roman"/>
          <w:i/>
        </w:rPr>
        <w:t>, exposure</w:t>
      </w:r>
      <w:r w:rsidRPr="00FA7738">
        <w:rPr>
          <w:rFonts w:ascii="Times New Roman" w:hAnsi="Times New Roman" w:cs="Times New Roman"/>
          <w:i/>
        </w:rPr>
        <w:t xml:space="preserve"> to K through targeted dissemination of knowledge (TDK) and any previous exposure to K through passive diffusion (control). Results showed both TTDK and TDK effective compared to the control condition, but not different from each other. Targeting audience for dissemination of K, the common component of both methods, is effective as a strategy to increase K use levels; whereas tailoring of knowledge does not seem to add to the effect. The paper discusses results as well as key features of the KT strategy and the development of LOKUS.  </w:t>
      </w:r>
    </w:p>
    <w:p w:rsidR="00FA7738" w:rsidRPr="00FA7738" w:rsidRDefault="00FA7738" w:rsidP="00FA7738">
      <w:pPr>
        <w:spacing w:line="360" w:lineRule="auto"/>
        <w:ind w:left="0"/>
        <w:rPr>
          <w:rFonts w:ascii="Times New Roman" w:hAnsi="Times New Roman"/>
        </w:rPr>
      </w:pPr>
      <w:r>
        <w:rPr>
          <w:rFonts w:ascii="Times New Roman" w:hAnsi="Times New Roman"/>
          <w:b/>
          <w:u w:val="single"/>
        </w:rPr>
        <w:t>Contact:</w:t>
      </w:r>
      <w:r>
        <w:rPr>
          <w:rFonts w:ascii="Times New Roman" w:hAnsi="Times New Roman"/>
        </w:rPr>
        <w:t xml:space="preserve"> </w:t>
      </w:r>
    </w:p>
    <w:p w:rsidR="00FA7738" w:rsidRPr="00FA7738" w:rsidRDefault="00FA7738" w:rsidP="00FA7738">
      <w:pPr>
        <w:spacing w:line="360" w:lineRule="auto"/>
        <w:ind w:left="0"/>
        <w:rPr>
          <w:rFonts w:ascii="Times New Roman" w:hAnsi="Times New Roman"/>
        </w:rPr>
      </w:pPr>
      <w:r w:rsidRPr="00FA7738">
        <w:rPr>
          <w:rFonts w:ascii="Times New Roman" w:hAnsi="Times New Roman"/>
        </w:rPr>
        <w:t xml:space="preserve">Vathsala I. Stone </w:t>
      </w:r>
    </w:p>
    <w:p w:rsidR="00FA7738" w:rsidRPr="00FA7738" w:rsidRDefault="00FA7738" w:rsidP="00FA7738">
      <w:pPr>
        <w:spacing w:line="360" w:lineRule="auto"/>
        <w:ind w:left="0"/>
        <w:rPr>
          <w:rFonts w:ascii="Times New Roman" w:hAnsi="Times New Roman" w:cs="Times New Roman"/>
        </w:rPr>
      </w:pPr>
      <w:r w:rsidRPr="00FA7738">
        <w:rPr>
          <w:rFonts w:ascii="Times New Roman" w:hAnsi="Times New Roman" w:cs="Times New Roman"/>
        </w:rPr>
        <w:t xml:space="preserve">Co-Principal Investigator </w:t>
      </w:r>
    </w:p>
    <w:p w:rsidR="00FA7738" w:rsidRPr="00FA7738" w:rsidRDefault="00FA7738" w:rsidP="00FA7738">
      <w:pPr>
        <w:spacing w:line="360" w:lineRule="auto"/>
        <w:ind w:left="0"/>
        <w:rPr>
          <w:rFonts w:ascii="Times New Roman" w:hAnsi="Times New Roman" w:cs="Times New Roman"/>
        </w:rPr>
      </w:pPr>
      <w:r w:rsidRPr="00FA7738">
        <w:rPr>
          <w:rFonts w:ascii="Times New Roman" w:hAnsi="Times New Roman" w:cs="Times New Roman"/>
        </w:rPr>
        <w:t>Center on Knowledge Translation for Technology Transfer</w:t>
      </w:r>
    </w:p>
    <w:p w:rsidR="00FA7738" w:rsidRPr="00FA7738" w:rsidRDefault="00FA7738" w:rsidP="00FA7738">
      <w:pPr>
        <w:spacing w:line="360" w:lineRule="auto"/>
        <w:ind w:left="0"/>
        <w:rPr>
          <w:rFonts w:ascii="Times New Roman" w:hAnsi="Times New Roman" w:cs="Times New Roman"/>
        </w:rPr>
      </w:pPr>
      <w:r w:rsidRPr="00FA7738">
        <w:rPr>
          <w:rFonts w:ascii="Times New Roman" w:hAnsi="Times New Roman" w:cs="Times New Roman"/>
        </w:rPr>
        <w:t>100 Sylvan Parkway, Suite 400</w:t>
      </w:r>
    </w:p>
    <w:p w:rsidR="00FA7738" w:rsidRPr="00FA7738" w:rsidRDefault="00FA7738" w:rsidP="00FA7738">
      <w:pPr>
        <w:spacing w:line="360" w:lineRule="auto"/>
        <w:ind w:left="0"/>
        <w:rPr>
          <w:rFonts w:ascii="Times New Roman" w:hAnsi="Times New Roman" w:cs="Times New Roman"/>
        </w:rPr>
      </w:pPr>
      <w:r w:rsidRPr="00FA7738">
        <w:rPr>
          <w:rFonts w:ascii="Times New Roman" w:hAnsi="Times New Roman" w:cs="Times New Roman"/>
        </w:rPr>
        <w:t>Amherst, NY 14228</w:t>
      </w:r>
    </w:p>
    <w:p w:rsidR="00FA7738" w:rsidRPr="00FA7738" w:rsidRDefault="00FA7738" w:rsidP="00FA7738">
      <w:pPr>
        <w:spacing w:line="360" w:lineRule="auto"/>
        <w:ind w:left="0"/>
        <w:rPr>
          <w:rFonts w:ascii="Times New Roman" w:hAnsi="Times New Roman" w:cs="Times New Roman"/>
        </w:rPr>
      </w:pPr>
      <w:r w:rsidRPr="00FA7738">
        <w:rPr>
          <w:rFonts w:ascii="Times New Roman" w:hAnsi="Times New Roman" w:cs="Times New Roman"/>
        </w:rPr>
        <w:t>Tel. 716-204-8606 Ext. 210</w:t>
      </w:r>
    </w:p>
    <w:p w:rsidR="009E21A3" w:rsidRDefault="00C15B95" w:rsidP="009E21A3">
      <w:pPr>
        <w:spacing w:line="360" w:lineRule="auto"/>
        <w:ind w:left="0"/>
        <w:rPr>
          <w:rFonts w:ascii="Times New Roman" w:hAnsi="Times New Roman"/>
          <w:b/>
          <w:u w:val="single"/>
        </w:rPr>
      </w:pPr>
      <w:hyperlink r:id="rId8" w:history="1">
        <w:r w:rsidR="00FA7738" w:rsidRPr="00FA7738">
          <w:rPr>
            <w:rStyle w:val="Hyperlink"/>
            <w:rFonts w:ascii="Times New Roman" w:hAnsi="Times New Roman"/>
          </w:rPr>
          <w:t>vstone@buffalo.edu</w:t>
        </w:r>
      </w:hyperlink>
      <w:r w:rsidR="009E21A3" w:rsidRPr="009E21A3">
        <w:rPr>
          <w:rFonts w:ascii="Times New Roman" w:hAnsi="Times New Roman"/>
          <w:b/>
          <w:u w:val="single"/>
        </w:rPr>
        <w:t xml:space="preserve"> </w:t>
      </w:r>
    </w:p>
    <w:p w:rsidR="00A95D73" w:rsidRDefault="00C15B95" w:rsidP="009E21A3">
      <w:pPr>
        <w:ind w:left="0"/>
      </w:pPr>
      <w:hyperlink r:id="rId9" w:history="1">
        <w:r w:rsidR="009E21A3" w:rsidRPr="00605373">
          <w:rPr>
            <w:rStyle w:val="Hyperlink"/>
            <w:rFonts w:ascii="Calibri" w:hAnsi="Calibri"/>
          </w:rPr>
          <w:t>http://kt4tt.buffalo.edu</w:t>
        </w:r>
      </w:hyperlink>
    </w:p>
    <w:p w:rsidR="00A95D73" w:rsidRDefault="00A95D73" w:rsidP="00A95D73">
      <w:pPr>
        <w:spacing w:line="360" w:lineRule="auto"/>
        <w:rPr>
          <w:rFonts w:ascii="Times New Roman" w:hAnsi="Times New Roman" w:cs="Times New Roman"/>
          <w:b/>
          <w:sz w:val="24"/>
          <w:szCs w:val="24"/>
          <w:u w:val="single"/>
        </w:rPr>
      </w:pPr>
      <w:r w:rsidRPr="00A95D73">
        <w:rPr>
          <w:rFonts w:ascii="Times New Roman" w:hAnsi="Times New Roman" w:cs="Times New Roman"/>
          <w:b/>
          <w:sz w:val="24"/>
          <w:szCs w:val="24"/>
          <w:u w:val="single"/>
        </w:rPr>
        <w:lastRenderedPageBreak/>
        <w:t xml:space="preserve">Key References: </w:t>
      </w:r>
    </w:p>
    <w:p w:rsidR="00C15B95" w:rsidRPr="00A95D73" w:rsidRDefault="001B294B" w:rsidP="00A95D73">
      <w:pPr>
        <w:numPr>
          <w:ilvl w:val="0"/>
          <w:numId w:val="1"/>
        </w:numPr>
        <w:spacing w:line="360" w:lineRule="auto"/>
        <w:rPr>
          <w:rFonts w:ascii="Times New Roman" w:hAnsi="Times New Roman" w:cs="Times New Roman"/>
        </w:rPr>
      </w:pPr>
      <w:r w:rsidRPr="00A95D73">
        <w:rPr>
          <w:rFonts w:ascii="Times New Roman" w:hAnsi="Times New Roman" w:cs="Times New Roman"/>
        </w:rPr>
        <w:t xml:space="preserve">Bozeman, B., &amp; Rogers, J. D. (2002). A churn model of scientific knowledge value: Internet researchers as a knowledge value collective, </w:t>
      </w:r>
      <w:r w:rsidRPr="00A95D73">
        <w:rPr>
          <w:rFonts w:ascii="Times New Roman" w:hAnsi="Times New Roman" w:cs="Times New Roman"/>
          <w:i/>
          <w:iCs/>
        </w:rPr>
        <w:t>Research Policy, 31</w:t>
      </w:r>
      <w:r w:rsidRPr="00A95D73">
        <w:rPr>
          <w:rFonts w:ascii="Times New Roman" w:hAnsi="Times New Roman" w:cs="Times New Roman"/>
        </w:rPr>
        <w:t>, 769-794.</w:t>
      </w:r>
    </w:p>
    <w:p w:rsidR="00C15B95" w:rsidRPr="00A95D73" w:rsidRDefault="001B294B" w:rsidP="00A95D73">
      <w:pPr>
        <w:numPr>
          <w:ilvl w:val="0"/>
          <w:numId w:val="1"/>
        </w:numPr>
        <w:spacing w:line="360" w:lineRule="auto"/>
        <w:rPr>
          <w:rFonts w:ascii="Times New Roman" w:hAnsi="Times New Roman" w:cs="Times New Roman"/>
        </w:rPr>
      </w:pPr>
      <w:r w:rsidRPr="00A95D73">
        <w:rPr>
          <w:rFonts w:ascii="Times New Roman" w:hAnsi="Times New Roman" w:cs="Times New Roman"/>
        </w:rPr>
        <w:t xml:space="preserve">Bryen D. N.  (2008). Vocabulary to Support Socially-Valued Adult Roles.  </w:t>
      </w:r>
      <w:r w:rsidRPr="00A95D73">
        <w:rPr>
          <w:rFonts w:ascii="Times New Roman" w:hAnsi="Times New Roman" w:cs="Times New Roman"/>
          <w:i/>
          <w:iCs/>
        </w:rPr>
        <w:t xml:space="preserve">Augmentative and alternative Communication, </w:t>
      </w:r>
      <w:r w:rsidRPr="00A95D73">
        <w:rPr>
          <w:rFonts w:ascii="Times New Roman" w:hAnsi="Times New Roman" w:cs="Times New Roman"/>
        </w:rPr>
        <w:t>Vol. 24, No. 4, Pages 294-301</w:t>
      </w:r>
    </w:p>
    <w:p w:rsidR="00C15B95" w:rsidRPr="00A95D73" w:rsidRDefault="001B294B" w:rsidP="00A95D73">
      <w:pPr>
        <w:numPr>
          <w:ilvl w:val="0"/>
          <w:numId w:val="1"/>
        </w:numPr>
        <w:spacing w:line="360" w:lineRule="auto"/>
        <w:rPr>
          <w:rFonts w:ascii="Times New Roman" w:hAnsi="Times New Roman" w:cs="Times New Roman"/>
        </w:rPr>
      </w:pPr>
      <w:r w:rsidRPr="00A95D73">
        <w:rPr>
          <w:rFonts w:ascii="Times New Roman" w:hAnsi="Times New Roman" w:cs="Times New Roman"/>
        </w:rPr>
        <w:t xml:space="preserve">CIHR. </w:t>
      </w:r>
      <w:r w:rsidRPr="00A95D73">
        <w:rPr>
          <w:rFonts w:ascii="Times New Roman" w:hAnsi="Times New Roman" w:cs="Times New Roman"/>
          <w:i/>
          <w:iCs/>
        </w:rPr>
        <w:t xml:space="preserve">About knowledge translation. </w:t>
      </w:r>
      <w:r w:rsidRPr="00A95D73">
        <w:rPr>
          <w:rFonts w:ascii="Times New Roman" w:hAnsi="Times New Roman" w:cs="Times New Roman"/>
        </w:rPr>
        <w:t>Retrieved October 25, 2009, from</w:t>
      </w:r>
      <w:hyperlink r:id="rId10" w:history="1">
        <w:r w:rsidRPr="00A95D73">
          <w:rPr>
            <w:rStyle w:val="Hyperlink"/>
            <w:rFonts w:ascii="Times New Roman" w:hAnsi="Times New Roman" w:cs="Times New Roman"/>
          </w:rPr>
          <w:t xml:space="preserve"> http://www.cihr-irsc.gc.ca/e/29418.html</w:t>
        </w:r>
      </w:hyperlink>
      <w:r w:rsidRPr="00A95D73">
        <w:rPr>
          <w:rFonts w:ascii="Times New Roman" w:hAnsi="Times New Roman" w:cs="Times New Roman"/>
          <w:u w:val="single"/>
        </w:rPr>
        <w:t xml:space="preserve"> </w:t>
      </w:r>
    </w:p>
    <w:p w:rsidR="00C15B95" w:rsidRPr="00A95D73" w:rsidRDefault="001B294B" w:rsidP="00A95D73">
      <w:pPr>
        <w:numPr>
          <w:ilvl w:val="0"/>
          <w:numId w:val="1"/>
        </w:numPr>
        <w:spacing w:line="360" w:lineRule="auto"/>
        <w:rPr>
          <w:rFonts w:ascii="Times New Roman" w:hAnsi="Times New Roman" w:cs="Times New Roman"/>
        </w:rPr>
      </w:pPr>
      <w:r w:rsidRPr="00A95D73">
        <w:rPr>
          <w:rFonts w:ascii="Times New Roman" w:hAnsi="Times New Roman" w:cs="Times New Roman"/>
        </w:rPr>
        <w:t xml:space="preserve">Graham, I.D., Logan, J., Harrison, M.B., Straus, S.E., </w:t>
      </w:r>
      <w:proofErr w:type="spellStart"/>
      <w:r w:rsidRPr="00A95D73">
        <w:rPr>
          <w:rFonts w:ascii="Times New Roman" w:hAnsi="Times New Roman" w:cs="Times New Roman"/>
        </w:rPr>
        <w:t>Tetroe</w:t>
      </w:r>
      <w:proofErr w:type="spellEnd"/>
      <w:r w:rsidRPr="00A95D73">
        <w:rPr>
          <w:rFonts w:ascii="Times New Roman" w:hAnsi="Times New Roman" w:cs="Times New Roman"/>
        </w:rPr>
        <w:t xml:space="preserve">, J., Caswell, W., &amp; Robinson, N. (2006). Lost in translation: time for a map? </w:t>
      </w:r>
      <w:r w:rsidRPr="00A95D73">
        <w:rPr>
          <w:rFonts w:ascii="Times New Roman" w:hAnsi="Times New Roman" w:cs="Times New Roman"/>
          <w:i/>
          <w:iCs/>
        </w:rPr>
        <w:t>The Journal of Continuing Education in the Health Professions, 26</w:t>
      </w:r>
      <w:r w:rsidRPr="00A95D73">
        <w:rPr>
          <w:rFonts w:ascii="Times New Roman" w:hAnsi="Times New Roman" w:cs="Times New Roman"/>
        </w:rPr>
        <w:t xml:space="preserve">(1), 13-24. </w:t>
      </w:r>
    </w:p>
    <w:p w:rsidR="00C15B95" w:rsidRPr="00A95D73" w:rsidRDefault="001B294B" w:rsidP="00A95D73">
      <w:pPr>
        <w:numPr>
          <w:ilvl w:val="0"/>
          <w:numId w:val="1"/>
        </w:numPr>
        <w:spacing w:line="360" w:lineRule="auto"/>
        <w:rPr>
          <w:rFonts w:ascii="Times New Roman" w:hAnsi="Times New Roman" w:cs="Times New Roman"/>
        </w:rPr>
      </w:pPr>
      <w:r w:rsidRPr="00A95D73">
        <w:rPr>
          <w:rFonts w:ascii="Times New Roman" w:hAnsi="Times New Roman" w:cs="Times New Roman"/>
        </w:rPr>
        <w:t xml:space="preserve">Hall, G.E., Dirksen, D.J., and George, A.A. (2006). Measuring Implementation in Schools: Levels of Use. </w:t>
      </w:r>
      <w:r w:rsidRPr="00A95D73">
        <w:rPr>
          <w:rFonts w:ascii="Times New Roman" w:hAnsi="Times New Roman" w:cs="Times New Roman"/>
          <w:lang w:val="es-ES"/>
        </w:rPr>
        <w:t xml:space="preserve">Austin, TX: </w:t>
      </w:r>
      <w:proofErr w:type="spellStart"/>
      <w:r w:rsidRPr="00A95D73">
        <w:rPr>
          <w:rFonts w:ascii="Times New Roman" w:hAnsi="Times New Roman" w:cs="Times New Roman"/>
          <w:lang w:val="es-ES"/>
        </w:rPr>
        <w:t>Southwest</w:t>
      </w:r>
      <w:proofErr w:type="spellEnd"/>
      <w:r w:rsidRPr="00A95D73">
        <w:rPr>
          <w:rFonts w:ascii="Times New Roman" w:hAnsi="Times New Roman" w:cs="Times New Roman"/>
          <w:lang w:val="es-ES"/>
        </w:rPr>
        <w:t xml:space="preserve"> </w:t>
      </w:r>
      <w:proofErr w:type="spellStart"/>
      <w:r w:rsidRPr="00A95D73">
        <w:rPr>
          <w:rFonts w:ascii="Times New Roman" w:hAnsi="Times New Roman" w:cs="Times New Roman"/>
          <w:lang w:val="es-ES"/>
        </w:rPr>
        <w:t>Educational</w:t>
      </w:r>
      <w:proofErr w:type="spellEnd"/>
      <w:r w:rsidRPr="00A95D73">
        <w:rPr>
          <w:rFonts w:ascii="Times New Roman" w:hAnsi="Times New Roman" w:cs="Times New Roman"/>
          <w:lang w:val="es-ES"/>
        </w:rPr>
        <w:t xml:space="preserve"> </w:t>
      </w:r>
      <w:proofErr w:type="spellStart"/>
      <w:r w:rsidRPr="00A95D73">
        <w:rPr>
          <w:rFonts w:ascii="Times New Roman" w:hAnsi="Times New Roman" w:cs="Times New Roman"/>
          <w:lang w:val="es-ES"/>
        </w:rPr>
        <w:t>Development</w:t>
      </w:r>
      <w:proofErr w:type="spellEnd"/>
      <w:r w:rsidRPr="00A95D73">
        <w:rPr>
          <w:rFonts w:ascii="Times New Roman" w:hAnsi="Times New Roman" w:cs="Times New Roman"/>
          <w:lang w:val="es-ES"/>
        </w:rPr>
        <w:t xml:space="preserve"> </w:t>
      </w:r>
      <w:proofErr w:type="spellStart"/>
      <w:r w:rsidRPr="00A95D73">
        <w:rPr>
          <w:rFonts w:ascii="Times New Roman" w:hAnsi="Times New Roman" w:cs="Times New Roman"/>
          <w:lang w:val="es-ES"/>
        </w:rPr>
        <w:t>Laboratory</w:t>
      </w:r>
      <w:proofErr w:type="spellEnd"/>
      <w:r w:rsidRPr="00A95D73">
        <w:rPr>
          <w:rFonts w:ascii="Times New Roman" w:hAnsi="Times New Roman" w:cs="Times New Roman"/>
          <w:lang w:val="es-ES"/>
        </w:rPr>
        <w:t xml:space="preserve"> (SEDL).</w:t>
      </w:r>
    </w:p>
    <w:p w:rsidR="00C15B95" w:rsidRPr="00A95D73" w:rsidRDefault="001B294B" w:rsidP="00A95D73">
      <w:pPr>
        <w:numPr>
          <w:ilvl w:val="0"/>
          <w:numId w:val="1"/>
        </w:numPr>
        <w:spacing w:line="360" w:lineRule="auto"/>
        <w:rPr>
          <w:rFonts w:ascii="Times New Roman" w:hAnsi="Times New Roman" w:cs="Times New Roman"/>
        </w:rPr>
      </w:pPr>
      <w:r w:rsidRPr="00A95D73">
        <w:rPr>
          <w:rFonts w:ascii="Times New Roman" w:hAnsi="Times New Roman" w:cs="Times New Roman"/>
        </w:rPr>
        <w:t>Lane JP (ed</w:t>
      </w:r>
      <w:r w:rsidR="00EC3FDB">
        <w:rPr>
          <w:rFonts w:ascii="Times New Roman" w:hAnsi="Times New Roman" w:cs="Times New Roman"/>
        </w:rPr>
        <w:t>.) (2003).</w:t>
      </w:r>
      <w:r w:rsidRPr="00A95D73">
        <w:rPr>
          <w:rFonts w:ascii="Times New Roman" w:hAnsi="Times New Roman" w:cs="Times New Roman"/>
        </w:rPr>
        <w:t xml:space="preserve"> “The science and practice of technology transfer: implications for the field of technology transfer,” </w:t>
      </w:r>
      <w:r w:rsidRPr="00A95D73">
        <w:rPr>
          <w:rFonts w:ascii="Times New Roman" w:hAnsi="Times New Roman" w:cs="Times New Roman"/>
          <w:i/>
          <w:iCs/>
        </w:rPr>
        <w:t xml:space="preserve">Journal of Technology Transfer: </w:t>
      </w:r>
      <w:r w:rsidRPr="00A95D73">
        <w:rPr>
          <w:rFonts w:ascii="Times New Roman" w:hAnsi="Times New Roman" w:cs="Times New Roman"/>
        </w:rPr>
        <w:t>28, 3/4, 333-354</w:t>
      </w:r>
    </w:p>
    <w:p w:rsidR="00C15B95" w:rsidRPr="00A95D73" w:rsidRDefault="001B294B" w:rsidP="00A95D73">
      <w:pPr>
        <w:numPr>
          <w:ilvl w:val="0"/>
          <w:numId w:val="1"/>
        </w:numPr>
        <w:spacing w:line="360" w:lineRule="auto"/>
        <w:rPr>
          <w:rFonts w:ascii="Times New Roman" w:hAnsi="Times New Roman" w:cs="Times New Roman"/>
        </w:rPr>
      </w:pPr>
      <w:r w:rsidRPr="00A95D73">
        <w:rPr>
          <w:rFonts w:ascii="Times New Roman" w:hAnsi="Times New Roman" w:cs="Times New Roman"/>
        </w:rPr>
        <w:t>Lane, JP and Flagg JL</w:t>
      </w:r>
      <w:r w:rsidR="00A95D73">
        <w:rPr>
          <w:rFonts w:ascii="Times New Roman" w:hAnsi="Times New Roman" w:cs="Times New Roman"/>
        </w:rPr>
        <w:t xml:space="preserve"> </w:t>
      </w:r>
      <w:r w:rsidRPr="00A95D73">
        <w:rPr>
          <w:rFonts w:ascii="Times New Roman" w:hAnsi="Times New Roman" w:cs="Times New Roman"/>
        </w:rPr>
        <w:t xml:space="preserve">(2010). Translating three states of knowledge--discovery, invention, and innovation, </w:t>
      </w:r>
      <w:r w:rsidRPr="00A95D73">
        <w:rPr>
          <w:rFonts w:ascii="Times New Roman" w:hAnsi="Times New Roman" w:cs="Times New Roman"/>
          <w:i/>
          <w:iCs/>
        </w:rPr>
        <w:t xml:space="preserve">Implementation Science </w:t>
      </w:r>
      <w:r w:rsidRPr="00A95D73">
        <w:rPr>
          <w:rFonts w:ascii="Times New Roman" w:hAnsi="Times New Roman" w:cs="Times New Roman"/>
        </w:rPr>
        <w:t xml:space="preserve">2010, 5:9. </w:t>
      </w:r>
    </w:p>
    <w:p w:rsidR="00C15B95" w:rsidRPr="00A95D73" w:rsidRDefault="001B294B" w:rsidP="00A95D73">
      <w:pPr>
        <w:numPr>
          <w:ilvl w:val="0"/>
          <w:numId w:val="1"/>
        </w:numPr>
        <w:spacing w:line="360" w:lineRule="auto"/>
        <w:rPr>
          <w:rFonts w:ascii="Times New Roman" w:hAnsi="Times New Roman" w:cs="Times New Roman"/>
        </w:rPr>
      </w:pPr>
      <w:r w:rsidRPr="00A95D73">
        <w:rPr>
          <w:rFonts w:ascii="Times New Roman" w:hAnsi="Times New Roman" w:cs="Times New Roman"/>
        </w:rPr>
        <w:t>Lane, JP and Rogers JD</w:t>
      </w:r>
      <w:r w:rsidR="00A95D73">
        <w:rPr>
          <w:rFonts w:ascii="Times New Roman" w:hAnsi="Times New Roman" w:cs="Times New Roman"/>
        </w:rPr>
        <w:t xml:space="preserve"> (2011).</w:t>
      </w:r>
      <w:r w:rsidRPr="00A95D73">
        <w:rPr>
          <w:rFonts w:ascii="Times New Roman" w:hAnsi="Times New Roman" w:cs="Times New Roman"/>
        </w:rPr>
        <w:t> Engaging national organizations for knowledge translation: comparative case studies in knowledge value mapping, </w:t>
      </w:r>
      <w:r w:rsidRPr="00A95D73">
        <w:rPr>
          <w:rFonts w:ascii="Times New Roman" w:hAnsi="Times New Roman" w:cs="Times New Roman"/>
          <w:i/>
          <w:iCs/>
        </w:rPr>
        <w:t>Implementation Science 2011</w:t>
      </w:r>
      <w:r w:rsidRPr="00A95D73">
        <w:rPr>
          <w:rFonts w:ascii="Times New Roman" w:hAnsi="Times New Roman" w:cs="Times New Roman"/>
        </w:rPr>
        <w:t xml:space="preserve">, 6:106. </w:t>
      </w:r>
    </w:p>
    <w:p w:rsidR="00C15B95" w:rsidRDefault="00A95D73" w:rsidP="00A95D73">
      <w:pPr>
        <w:numPr>
          <w:ilvl w:val="0"/>
          <w:numId w:val="1"/>
        </w:numPr>
        <w:spacing w:line="360" w:lineRule="auto"/>
        <w:rPr>
          <w:rFonts w:ascii="Times New Roman" w:hAnsi="Times New Roman" w:cs="Times New Roman"/>
        </w:rPr>
      </w:pPr>
      <w:r>
        <w:rPr>
          <w:rFonts w:ascii="Times New Roman" w:hAnsi="Times New Roman" w:cs="Times New Roman"/>
        </w:rPr>
        <w:t xml:space="preserve">Rogers, J.D. (2000). </w:t>
      </w:r>
      <w:r w:rsidR="001B294B" w:rsidRPr="00A95D73">
        <w:rPr>
          <w:rFonts w:ascii="Times New Roman" w:hAnsi="Times New Roman" w:cs="Times New Roman"/>
        </w:rPr>
        <w:t xml:space="preserve">Theoretical consideration of collaboration in scientific research. In J.S. </w:t>
      </w:r>
      <w:proofErr w:type="spellStart"/>
      <w:r w:rsidR="001B294B" w:rsidRPr="00A95D73">
        <w:rPr>
          <w:rFonts w:ascii="Times New Roman" w:hAnsi="Times New Roman" w:cs="Times New Roman"/>
        </w:rPr>
        <w:t>Hauger</w:t>
      </w:r>
      <w:proofErr w:type="spellEnd"/>
      <w:r w:rsidR="001B294B" w:rsidRPr="00A95D73">
        <w:rPr>
          <w:rFonts w:ascii="Times New Roman" w:hAnsi="Times New Roman" w:cs="Times New Roman"/>
        </w:rPr>
        <w:t xml:space="preserve"> and </w:t>
      </w:r>
      <w:proofErr w:type="spellStart"/>
      <w:r w:rsidR="001B294B" w:rsidRPr="00A95D73">
        <w:rPr>
          <w:rFonts w:ascii="Times New Roman" w:hAnsi="Times New Roman" w:cs="Times New Roman"/>
        </w:rPr>
        <w:t>C.McEnaney</w:t>
      </w:r>
      <w:proofErr w:type="spellEnd"/>
      <w:r w:rsidR="001B294B" w:rsidRPr="00A95D73">
        <w:rPr>
          <w:rFonts w:ascii="Times New Roman" w:hAnsi="Times New Roman" w:cs="Times New Roman"/>
        </w:rPr>
        <w:t xml:space="preserve"> (Eds.), Strategies for competitiveness in Academic Research (Chap</w:t>
      </w:r>
      <w:r w:rsidR="00F845BF">
        <w:rPr>
          <w:rFonts w:ascii="Times New Roman" w:hAnsi="Times New Roman" w:cs="Times New Roman"/>
        </w:rPr>
        <w:t>. 6</w:t>
      </w:r>
      <w:r w:rsidR="001B294B" w:rsidRPr="00A95D73">
        <w:rPr>
          <w:rFonts w:ascii="Times New Roman" w:hAnsi="Times New Roman" w:cs="Times New Roman"/>
        </w:rPr>
        <w:t xml:space="preserve">). </w:t>
      </w:r>
    </w:p>
    <w:p w:rsidR="00F845BF" w:rsidRDefault="00F845BF" w:rsidP="00A95D73">
      <w:pPr>
        <w:numPr>
          <w:ilvl w:val="0"/>
          <w:numId w:val="1"/>
        </w:numPr>
        <w:spacing w:line="360" w:lineRule="auto"/>
        <w:rPr>
          <w:rFonts w:ascii="Times New Roman" w:hAnsi="Times New Roman" w:cs="Times New Roman"/>
        </w:rPr>
      </w:pPr>
      <w:r w:rsidRPr="00F845BF">
        <w:rPr>
          <w:rFonts w:ascii="Times New Roman" w:hAnsi="Times New Roman" w:cs="Times New Roman"/>
        </w:rPr>
        <w:t xml:space="preserve">Stone VI. (2010). Translating Knowledge </w:t>
      </w:r>
      <w:r>
        <w:rPr>
          <w:rFonts w:ascii="Times New Roman" w:hAnsi="Times New Roman" w:cs="Times New Roman"/>
        </w:rPr>
        <w:t xml:space="preserve">from </w:t>
      </w:r>
      <w:r w:rsidRPr="00F845BF">
        <w:rPr>
          <w:rFonts w:ascii="Times New Roman" w:hAnsi="Times New Roman" w:cs="Times New Roman"/>
        </w:rPr>
        <w:t xml:space="preserve">Technology based research projects: </w:t>
      </w:r>
      <w:r w:rsidR="008A1DE9">
        <w:rPr>
          <w:rFonts w:ascii="Times New Roman" w:hAnsi="Times New Roman" w:cs="Times New Roman"/>
        </w:rPr>
        <w:t xml:space="preserve">an </w:t>
      </w:r>
      <w:r w:rsidRPr="00F845BF">
        <w:rPr>
          <w:rFonts w:ascii="Times New Roman" w:hAnsi="Times New Roman" w:cs="Times New Roman"/>
        </w:rPr>
        <w:t>end-of-grant intervention</w:t>
      </w:r>
      <w:r>
        <w:rPr>
          <w:rFonts w:ascii="Times New Roman" w:hAnsi="Times New Roman" w:cs="Times New Roman"/>
        </w:rPr>
        <w:t xml:space="preserve"> </w:t>
      </w:r>
      <w:r w:rsidR="008A1DE9">
        <w:rPr>
          <w:rFonts w:ascii="Times New Roman" w:hAnsi="Times New Roman" w:cs="Times New Roman"/>
        </w:rPr>
        <w:t xml:space="preserve">evaluation study </w:t>
      </w:r>
      <w:r>
        <w:rPr>
          <w:rFonts w:ascii="Times New Roman" w:hAnsi="Times New Roman" w:cs="Times New Roman"/>
        </w:rPr>
        <w:t>– rationale and methods</w:t>
      </w:r>
      <w:r w:rsidRPr="00F845BF">
        <w:rPr>
          <w:rFonts w:ascii="Times New Roman" w:hAnsi="Times New Roman" w:cs="Times New Roman"/>
        </w:rPr>
        <w:t xml:space="preserve">. AEA </w:t>
      </w:r>
      <w:r>
        <w:rPr>
          <w:rFonts w:ascii="Times New Roman" w:hAnsi="Times New Roman" w:cs="Times New Roman"/>
        </w:rPr>
        <w:t xml:space="preserve">2010 </w:t>
      </w:r>
      <w:r w:rsidRPr="00F845BF">
        <w:rPr>
          <w:rFonts w:ascii="Times New Roman" w:hAnsi="Times New Roman" w:cs="Times New Roman"/>
        </w:rPr>
        <w:t xml:space="preserve">annual meeting, </w:t>
      </w:r>
      <w:r w:rsidR="008A1DE9">
        <w:rPr>
          <w:rFonts w:ascii="Times New Roman" w:hAnsi="Times New Roman" w:cs="Times New Roman"/>
        </w:rPr>
        <w:t xml:space="preserve">Nov. 10-13, </w:t>
      </w:r>
      <w:r w:rsidRPr="00F845BF">
        <w:rPr>
          <w:rFonts w:ascii="Times New Roman" w:hAnsi="Times New Roman" w:cs="Times New Roman"/>
        </w:rPr>
        <w:t xml:space="preserve">San Antonio, </w:t>
      </w:r>
      <w:proofErr w:type="spellStart"/>
      <w:proofErr w:type="gramStart"/>
      <w:r w:rsidRPr="00F845BF">
        <w:rPr>
          <w:rFonts w:ascii="Times New Roman" w:hAnsi="Times New Roman" w:cs="Times New Roman"/>
        </w:rPr>
        <w:t>Tx</w:t>
      </w:r>
      <w:proofErr w:type="spellEnd"/>
      <w:proofErr w:type="gramEnd"/>
      <w:r w:rsidRPr="00F845BF">
        <w:rPr>
          <w:rFonts w:ascii="Times New Roman" w:hAnsi="Times New Roman" w:cs="Times New Roman"/>
        </w:rPr>
        <w:t xml:space="preserve">. </w:t>
      </w:r>
    </w:p>
    <w:p w:rsidR="0037020A" w:rsidRPr="00F845BF" w:rsidRDefault="0037020A" w:rsidP="00A95D73">
      <w:pPr>
        <w:numPr>
          <w:ilvl w:val="0"/>
          <w:numId w:val="1"/>
        </w:numPr>
        <w:spacing w:line="360" w:lineRule="auto"/>
        <w:rPr>
          <w:rFonts w:ascii="Times New Roman" w:hAnsi="Times New Roman" w:cs="Times New Roman"/>
        </w:rPr>
      </w:pPr>
      <w:r w:rsidRPr="00F845BF">
        <w:rPr>
          <w:rFonts w:ascii="Times New Roman" w:hAnsi="Times New Roman" w:cs="Times New Roman"/>
        </w:rPr>
        <w:t>Stone VI. (2011)</w:t>
      </w:r>
      <w:r w:rsidR="00F845BF" w:rsidRPr="00F845BF">
        <w:rPr>
          <w:rFonts w:ascii="Times New Roman" w:hAnsi="Times New Roman" w:cs="Times New Roman"/>
        </w:rPr>
        <w:t>.</w:t>
      </w:r>
      <w:r w:rsidRPr="00F845BF">
        <w:rPr>
          <w:rFonts w:ascii="Times New Roman" w:hAnsi="Times New Roman" w:cs="Times New Roman"/>
        </w:rPr>
        <w:t xml:space="preserve"> Knowledge Translation in AAC: A randomized controlled study. </w:t>
      </w:r>
      <w:hyperlink r:id="rId11" w:history="1">
        <w:r w:rsidRPr="00F845BF">
          <w:rPr>
            <w:rStyle w:val="Hyperlink"/>
            <w:rFonts w:ascii="Times New Roman" w:hAnsi="Times New Roman" w:cs="Times New Roman"/>
          </w:rPr>
          <w:t>http://www.ncddr.org/webcasts/webcast32.html</w:t>
        </w:r>
      </w:hyperlink>
    </w:p>
    <w:p w:rsidR="00C15B95" w:rsidRPr="00A95D73" w:rsidRDefault="001B294B" w:rsidP="00A95D73">
      <w:pPr>
        <w:numPr>
          <w:ilvl w:val="0"/>
          <w:numId w:val="1"/>
        </w:numPr>
        <w:spacing w:line="360" w:lineRule="auto"/>
        <w:rPr>
          <w:rFonts w:ascii="Times New Roman" w:hAnsi="Times New Roman" w:cs="Times New Roman"/>
        </w:rPr>
      </w:pPr>
      <w:r w:rsidRPr="00A95D73">
        <w:rPr>
          <w:rFonts w:ascii="Times New Roman" w:hAnsi="Times New Roman" w:cs="Times New Roman"/>
        </w:rPr>
        <w:t>Stone VI and Colleagues. Development of LOKUS. (Manuscript in preparation</w:t>
      </w:r>
      <w:r w:rsidR="00D82D67">
        <w:rPr>
          <w:rFonts w:ascii="Times New Roman" w:hAnsi="Times New Roman" w:cs="Times New Roman"/>
        </w:rPr>
        <w:t xml:space="preserve">) </w:t>
      </w:r>
    </w:p>
    <w:p w:rsidR="00C15B95" w:rsidRPr="00A95D73" w:rsidRDefault="001B294B" w:rsidP="00A95D73">
      <w:pPr>
        <w:numPr>
          <w:ilvl w:val="0"/>
          <w:numId w:val="1"/>
        </w:numPr>
        <w:spacing w:line="360" w:lineRule="auto"/>
        <w:rPr>
          <w:rFonts w:ascii="Times New Roman" w:hAnsi="Times New Roman" w:cs="Times New Roman"/>
        </w:rPr>
      </w:pPr>
      <w:r w:rsidRPr="00A95D73">
        <w:rPr>
          <w:rFonts w:ascii="Times New Roman" w:hAnsi="Times New Roman" w:cs="Times New Roman"/>
        </w:rPr>
        <w:t xml:space="preserve">Sudsawad, P (2007). </w:t>
      </w:r>
      <w:r w:rsidRPr="00A95D73">
        <w:rPr>
          <w:rFonts w:ascii="Times New Roman" w:hAnsi="Times New Roman" w:cs="Times New Roman"/>
          <w:i/>
          <w:iCs/>
        </w:rPr>
        <w:t>Knowledge Translation: Introduction to Models, Strategies, and Measures.</w:t>
      </w:r>
      <w:r w:rsidRPr="00A95D73">
        <w:rPr>
          <w:rFonts w:ascii="Times New Roman" w:hAnsi="Times New Roman" w:cs="Times New Roman"/>
        </w:rPr>
        <w:t xml:space="preserve"> Austin: Southwest Educational Development Laboratory, National Center for the Dissemination of Disability Research.  (p.4; 21-22)</w:t>
      </w:r>
    </w:p>
    <w:p w:rsidR="00C15B95" w:rsidRDefault="001B294B" w:rsidP="00A95D73">
      <w:pPr>
        <w:numPr>
          <w:ilvl w:val="0"/>
          <w:numId w:val="1"/>
        </w:numPr>
        <w:spacing w:line="360" w:lineRule="auto"/>
        <w:rPr>
          <w:rFonts w:ascii="Times New Roman" w:hAnsi="Times New Roman" w:cs="Times New Roman"/>
        </w:rPr>
      </w:pPr>
      <w:r w:rsidRPr="00A95D73">
        <w:rPr>
          <w:rFonts w:ascii="Times New Roman" w:hAnsi="Times New Roman" w:cs="Times New Roman"/>
        </w:rPr>
        <w:t>Tomita, MR, Stone VI and Telang SR. Psychometric Properties of LOKUS. (</w:t>
      </w:r>
      <w:r w:rsidR="00CA5ADC">
        <w:rPr>
          <w:rFonts w:ascii="Times New Roman" w:hAnsi="Times New Roman" w:cs="Times New Roman"/>
        </w:rPr>
        <w:t>I</w:t>
      </w:r>
      <w:r w:rsidRPr="00A95D73">
        <w:rPr>
          <w:rFonts w:ascii="Times New Roman" w:hAnsi="Times New Roman" w:cs="Times New Roman"/>
        </w:rPr>
        <w:t>n preparation)</w:t>
      </w:r>
    </w:p>
    <w:p w:rsidR="00D82D67" w:rsidRPr="00C720BF" w:rsidRDefault="00D82D67" w:rsidP="00D82D67">
      <w:pPr>
        <w:pStyle w:val="List2"/>
        <w:numPr>
          <w:ilvl w:val="0"/>
          <w:numId w:val="1"/>
        </w:numPr>
        <w:spacing w:line="360" w:lineRule="auto"/>
        <w:rPr>
          <w:sz w:val="24"/>
        </w:rPr>
      </w:pPr>
      <w:r w:rsidRPr="00C720BF">
        <w:rPr>
          <w:sz w:val="24"/>
        </w:rPr>
        <w:t xml:space="preserve">Weiss, C H </w:t>
      </w:r>
      <w:r>
        <w:rPr>
          <w:sz w:val="24"/>
        </w:rPr>
        <w:t>(</w:t>
      </w:r>
      <w:r w:rsidRPr="00C720BF">
        <w:rPr>
          <w:sz w:val="24"/>
        </w:rPr>
        <w:t>1979</w:t>
      </w:r>
      <w:r>
        <w:rPr>
          <w:sz w:val="24"/>
        </w:rPr>
        <w:t>)</w:t>
      </w:r>
      <w:r w:rsidRPr="00C720BF">
        <w:rPr>
          <w:sz w:val="24"/>
        </w:rPr>
        <w:t xml:space="preserve">. The Many Meanings of Research Utilization. </w:t>
      </w:r>
      <w:r w:rsidRPr="00C720BF">
        <w:rPr>
          <w:i/>
          <w:sz w:val="24"/>
        </w:rPr>
        <w:t>Public Administration Review</w:t>
      </w:r>
      <w:r w:rsidRPr="00C720BF">
        <w:rPr>
          <w:sz w:val="24"/>
        </w:rPr>
        <w:t xml:space="preserve">, </w:t>
      </w:r>
      <w:r w:rsidRPr="0020282C">
        <w:rPr>
          <w:b/>
          <w:sz w:val="24"/>
        </w:rPr>
        <w:t>39</w:t>
      </w:r>
      <w:r w:rsidRPr="00C720BF">
        <w:rPr>
          <w:sz w:val="24"/>
        </w:rPr>
        <w:t>(5): 426-431.</w:t>
      </w:r>
    </w:p>
    <w:p w:rsidR="003006DB" w:rsidRPr="00A95D73" w:rsidRDefault="001B294B" w:rsidP="00A95D73">
      <w:pPr>
        <w:numPr>
          <w:ilvl w:val="0"/>
          <w:numId w:val="1"/>
        </w:numPr>
        <w:spacing w:line="360" w:lineRule="auto"/>
        <w:rPr>
          <w:rFonts w:ascii="Times New Roman" w:hAnsi="Times New Roman" w:cs="Times New Roman"/>
        </w:rPr>
      </w:pPr>
      <w:r w:rsidRPr="00A95D73">
        <w:rPr>
          <w:rFonts w:ascii="Times New Roman" w:hAnsi="Times New Roman" w:cs="Times New Roman"/>
        </w:rPr>
        <w:t xml:space="preserve"> Wholey J S., </w:t>
      </w:r>
      <w:proofErr w:type="spellStart"/>
      <w:r w:rsidRPr="00A95D73">
        <w:rPr>
          <w:rFonts w:ascii="Times New Roman" w:hAnsi="Times New Roman" w:cs="Times New Roman"/>
        </w:rPr>
        <w:t>Hatry</w:t>
      </w:r>
      <w:proofErr w:type="spellEnd"/>
      <w:r w:rsidRPr="00A95D73">
        <w:rPr>
          <w:rFonts w:ascii="Times New Roman" w:hAnsi="Times New Roman" w:cs="Times New Roman"/>
        </w:rPr>
        <w:t xml:space="preserve"> H P., and Newcomer, K E (eds.) (2004). </w:t>
      </w:r>
      <w:r w:rsidRPr="00A95D73">
        <w:rPr>
          <w:rFonts w:ascii="Times New Roman" w:hAnsi="Times New Roman" w:cs="Times New Roman"/>
          <w:i/>
          <w:iCs/>
        </w:rPr>
        <w:t>Handbook of Practical Program Evaluation,</w:t>
      </w:r>
      <w:r w:rsidRPr="00A95D73">
        <w:rPr>
          <w:rFonts w:ascii="Times New Roman" w:hAnsi="Times New Roman" w:cs="Times New Roman"/>
        </w:rPr>
        <w:t xml:space="preserve"> San Francisco: </w:t>
      </w:r>
      <w:proofErr w:type="spellStart"/>
      <w:r w:rsidRPr="00A95D73">
        <w:rPr>
          <w:rFonts w:ascii="Times New Roman" w:hAnsi="Times New Roman" w:cs="Times New Roman"/>
        </w:rPr>
        <w:t>Jossey</w:t>
      </w:r>
      <w:proofErr w:type="spellEnd"/>
      <w:r w:rsidRPr="00A95D73">
        <w:rPr>
          <w:rFonts w:ascii="Times New Roman" w:hAnsi="Times New Roman" w:cs="Times New Roman"/>
        </w:rPr>
        <w:t xml:space="preserve">-Bass. </w:t>
      </w:r>
    </w:p>
    <w:sectPr w:rsidR="003006DB" w:rsidRPr="00A95D73" w:rsidSect="003006DB">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94B" w:rsidRDefault="001B294B" w:rsidP="00827DFA">
      <w:pPr>
        <w:spacing w:line="240" w:lineRule="auto"/>
      </w:pPr>
      <w:r>
        <w:separator/>
      </w:r>
    </w:p>
  </w:endnote>
  <w:endnote w:type="continuationSeparator" w:id="0">
    <w:p w:rsidR="001B294B" w:rsidRDefault="001B294B" w:rsidP="00827DF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81454"/>
      <w:docPartObj>
        <w:docPartGallery w:val="Page Numbers (Bottom of Page)"/>
        <w:docPartUnique/>
      </w:docPartObj>
    </w:sdtPr>
    <w:sdtContent>
      <w:p w:rsidR="00F845BF" w:rsidRDefault="00C15B95">
        <w:pPr>
          <w:pStyle w:val="Footer"/>
          <w:jc w:val="right"/>
        </w:pPr>
        <w:fldSimple w:instr=" PAGE   \* MERGEFORMAT ">
          <w:r w:rsidR="00CA5ADC">
            <w:rPr>
              <w:noProof/>
            </w:rPr>
            <w:t>2</w:t>
          </w:r>
        </w:fldSimple>
      </w:p>
    </w:sdtContent>
  </w:sdt>
  <w:p w:rsidR="00F845BF" w:rsidRDefault="00F845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94B" w:rsidRDefault="001B294B" w:rsidP="00827DFA">
      <w:pPr>
        <w:spacing w:line="240" w:lineRule="auto"/>
      </w:pPr>
      <w:r>
        <w:separator/>
      </w:r>
    </w:p>
  </w:footnote>
  <w:footnote w:type="continuationSeparator" w:id="0">
    <w:p w:rsidR="001B294B" w:rsidRDefault="001B294B" w:rsidP="00827DFA">
      <w:pPr>
        <w:spacing w:line="240" w:lineRule="auto"/>
      </w:pPr>
      <w:r>
        <w:continuationSeparator/>
      </w:r>
    </w:p>
  </w:footnote>
  <w:footnote w:id="1">
    <w:p w:rsidR="00827DFA" w:rsidRPr="00827DFA" w:rsidRDefault="00827DFA">
      <w:pPr>
        <w:pStyle w:val="FootnoteText"/>
        <w:rPr>
          <w:rFonts w:ascii="Times New Roman" w:hAnsi="Times New Roman" w:cs="Times New Roman"/>
        </w:rPr>
      </w:pPr>
      <w:r w:rsidRPr="00827DFA">
        <w:rPr>
          <w:rStyle w:val="FootnoteReference"/>
          <w:rFonts w:ascii="Times New Roman" w:hAnsi="Times New Roman" w:cs="Times New Roman"/>
        </w:rPr>
        <w:footnoteRef/>
      </w:r>
      <w:r w:rsidRPr="00827DFA">
        <w:rPr>
          <w:rFonts w:ascii="Times New Roman" w:hAnsi="Times New Roman" w:cs="Times New Roman"/>
        </w:rPr>
        <w:t xml:space="preserve"> Paper presented at the AEA 2011 Annual Meeting, Anaheim, CA, Nov. 5, 2011</w:t>
      </w:r>
    </w:p>
  </w:footnote>
  <w:footnote w:id="2">
    <w:p w:rsidR="00827DFA" w:rsidRPr="00827DFA" w:rsidRDefault="00827DFA">
      <w:pPr>
        <w:pStyle w:val="FootnoteText"/>
        <w:rPr>
          <w:rFonts w:ascii="Times New Roman" w:hAnsi="Times New Roman" w:cs="Times New Roman"/>
        </w:rPr>
      </w:pPr>
      <w:r w:rsidRPr="00827DFA">
        <w:rPr>
          <w:rStyle w:val="FootnoteReference"/>
          <w:rFonts w:ascii="Times New Roman" w:hAnsi="Times New Roman" w:cs="Times New Roman"/>
        </w:rPr>
        <w:footnoteRef/>
      </w:r>
      <w:r w:rsidRPr="00827DFA">
        <w:rPr>
          <w:rFonts w:ascii="Times New Roman" w:hAnsi="Times New Roman" w:cs="Times New Roman"/>
        </w:rPr>
        <w:t xml:space="preserve"> Co-Principal Investigator, KT4TT Center, University at Buffalo, NY</w:t>
      </w:r>
    </w:p>
  </w:footnote>
  <w:footnote w:id="3">
    <w:p w:rsidR="00827DFA" w:rsidRDefault="00827DFA">
      <w:pPr>
        <w:pStyle w:val="FootnoteText"/>
        <w:rPr>
          <w:rFonts w:ascii="Times New Roman" w:hAnsi="Times New Roman" w:cs="Times New Roman"/>
        </w:rPr>
      </w:pPr>
      <w:r w:rsidRPr="00827DFA">
        <w:rPr>
          <w:rStyle w:val="FootnoteReference"/>
          <w:rFonts w:ascii="Times New Roman" w:hAnsi="Times New Roman" w:cs="Times New Roman"/>
        </w:rPr>
        <w:footnoteRef/>
      </w:r>
      <w:r w:rsidRPr="00827DFA">
        <w:rPr>
          <w:rFonts w:ascii="Times New Roman" w:hAnsi="Times New Roman" w:cs="Times New Roman"/>
        </w:rPr>
        <w:t xml:space="preserve"> Clinical Associate Professor</w:t>
      </w:r>
      <w:r>
        <w:rPr>
          <w:rFonts w:ascii="Times New Roman" w:hAnsi="Times New Roman" w:cs="Times New Roman"/>
        </w:rPr>
        <w:t xml:space="preserve"> and </w:t>
      </w:r>
      <w:r w:rsidRPr="00827DFA">
        <w:rPr>
          <w:rFonts w:ascii="Times New Roman" w:hAnsi="Times New Roman" w:cs="Times New Roman"/>
        </w:rPr>
        <w:t>Co-Principal Investigator, KT4TT Center, University</w:t>
      </w:r>
      <w:r>
        <w:rPr>
          <w:rFonts w:ascii="Times New Roman" w:hAnsi="Times New Roman" w:cs="Times New Roman"/>
        </w:rPr>
        <w:t xml:space="preserve"> </w:t>
      </w:r>
      <w:r w:rsidRPr="00827DFA">
        <w:rPr>
          <w:rFonts w:ascii="Times New Roman" w:hAnsi="Times New Roman" w:cs="Times New Roman"/>
        </w:rPr>
        <w:t>at Buffalo, NY.</w:t>
      </w:r>
    </w:p>
    <w:p w:rsidR="00A95D73" w:rsidRDefault="00A95D73">
      <w:pPr>
        <w:pStyle w:val="FootnoteText"/>
        <w:rPr>
          <w:rFonts w:ascii="Times New Roman" w:hAnsi="Times New Roman" w:cs="Times New Roman"/>
        </w:rPr>
      </w:pPr>
    </w:p>
    <w:p w:rsidR="00A95D73" w:rsidRDefault="00A95D73">
      <w:pPr>
        <w:pStyle w:val="FootnoteText"/>
        <w:rPr>
          <w:rFonts w:ascii="Times New Roman" w:hAnsi="Times New Roman" w:cs="Times New Roman"/>
        </w:rPr>
      </w:pPr>
    </w:p>
    <w:p w:rsidR="00A95D73" w:rsidRPr="00827DFA" w:rsidRDefault="00A95D73">
      <w:pPr>
        <w:pStyle w:val="FootnoteText"/>
        <w:rPr>
          <w:rFonts w:ascii="Times New Roman" w:hAnsi="Times New Roman" w:cs="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422AD"/>
    <w:multiLevelType w:val="singleLevel"/>
    <w:tmpl w:val="7D52125E"/>
    <w:lvl w:ilvl="0">
      <w:start w:val="1"/>
      <w:numFmt w:val="bullet"/>
      <w:pStyle w:val="List2"/>
      <w:lvlText w:val=""/>
      <w:lvlJc w:val="left"/>
      <w:pPr>
        <w:tabs>
          <w:tab w:val="num" w:pos="720"/>
        </w:tabs>
        <w:ind w:left="360" w:firstLine="0"/>
      </w:pPr>
      <w:rPr>
        <w:rFonts w:ascii="Wingdings" w:hAnsi="Wingdings" w:hint="default"/>
        <w:sz w:val="12"/>
      </w:rPr>
    </w:lvl>
  </w:abstractNum>
  <w:abstractNum w:abstractNumId="1">
    <w:nsid w:val="1FFE05A6"/>
    <w:multiLevelType w:val="hybridMultilevel"/>
    <w:tmpl w:val="55201AE2"/>
    <w:lvl w:ilvl="0" w:tplc="C748B07A">
      <w:start w:val="1"/>
      <w:numFmt w:val="decimal"/>
      <w:lvlText w:val="%1."/>
      <w:lvlJc w:val="left"/>
      <w:pPr>
        <w:tabs>
          <w:tab w:val="num" w:pos="720"/>
        </w:tabs>
        <w:ind w:left="720" w:hanging="360"/>
      </w:pPr>
    </w:lvl>
    <w:lvl w:ilvl="1" w:tplc="E4EE1A56" w:tentative="1">
      <w:start w:val="1"/>
      <w:numFmt w:val="decimal"/>
      <w:lvlText w:val="%2."/>
      <w:lvlJc w:val="left"/>
      <w:pPr>
        <w:tabs>
          <w:tab w:val="num" w:pos="1440"/>
        </w:tabs>
        <w:ind w:left="1440" w:hanging="360"/>
      </w:pPr>
    </w:lvl>
    <w:lvl w:ilvl="2" w:tplc="9AB8FC44" w:tentative="1">
      <w:start w:val="1"/>
      <w:numFmt w:val="decimal"/>
      <w:lvlText w:val="%3."/>
      <w:lvlJc w:val="left"/>
      <w:pPr>
        <w:tabs>
          <w:tab w:val="num" w:pos="2160"/>
        </w:tabs>
        <w:ind w:left="2160" w:hanging="360"/>
      </w:pPr>
    </w:lvl>
    <w:lvl w:ilvl="3" w:tplc="5D0622C6" w:tentative="1">
      <w:start w:val="1"/>
      <w:numFmt w:val="decimal"/>
      <w:lvlText w:val="%4."/>
      <w:lvlJc w:val="left"/>
      <w:pPr>
        <w:tabs>
          <w:tab w:val="num" w:pos="2880"/>
        </w:tabs>
        <w:ind w:left="2880" w:hanging="360"/>
      </w:pPr>
    </w:lvl>
    <w:lvl w:ilvl="4" w:tplc="56B01D3A" w:tentative="1">
      <w:start w:val="1"/>
      <w:numFmt w:val="decimal"/>
      <w:lvlText w:val="%5."/>
      <w:lvlJc w:val="left"/>
      <w:pPr>
        <w:tabs>
          <w:tab w:val="num" w:pos="3600"/>
        </w:tabs>
        <w:ind w:left="3600" w:hanging="360"/>
      </w:pPr>
    </w:lvl>
    <w:lvl w:ilvl="5" w:tplc="A95A740A" w:tentative="1">
      <w:start w:val="1"/>
      <w:numFmt w:val="decimal"/>
      <w:lvlText w:val="%6."/>
      <w:lvlJc w:val="left"/>
      <w:pPr>
        <w:tabs>
          <w:tab w:val="num" w:pos="4320"/>
        </w:tabs>
        <w:ind w:left="4320" w:hanging="360"/>
      </w:pPr>
    </w:lvl>
    <w:lvl w:ilvl="6" w:tplc="0800441A" w:tentative="1">
      <w:start w:val="1"/>
      <w:numFmt w:val="decimal"/>
      <w:lvlText w:val="%7."/>
      <w:lvlJc w:val="left"/>
      <w:pPr>
        <w:tabs>
          <w:tab w:val="num" w:pos="5040"/>
        </w:tabs>
        <w:ind w:left="5040" w:hanging="360"/>
      </w:pPr>
    </w:lvl>
    <w:lvl w:ilvl="7" w:tplc="0C0ED258" w:tentative="1">
      <w:start w:val="1"/>
      <w:numFmt w:val="decimal"/>
      <w:lvlText w:val="%8."/>
      <w:lvlJc w:val="left"/>
      <w:pPr>
        <w:tabs>
          <w:tab w:val="num" w:pos="5760"/>
        </w:tabs>
        <w:ind w:left="5760" w:hanging="360"/>
      </w:pPr>
    </w:lvl>
    <w:lvl w:ilvl="8" w:tplc="FE907C78" w:tentative="1">
      <w:start w:val="1"/>
      <w:numFmt w:val="decimal"/>
      <w:lvlText w:val="%9."/>
      <w:lvlJc w:val="left"/>
      <w:pPr>
        <w:tabs>
          <w:tab w:val="num" w:pos="6480"/>
        </w:tabs>
        <w:ind w:left="6480" w:hanging="360"/>
      </w:pPr>
    </w:lvl>
  </w:abstractNum>
  <w:abstractNum w:abstractNumId="2">
    <w:nsid w:val="21F14E46"/>
    <w:multiLevelType w:val="hybridMultilevel"/>
    <w:tmpl w:val="C128B10C"/>
    <w:lvl w:ilvl="0" w:tplc="38E2C596">
      <w:start w:val="1"/>
      <w:numFmt w:val="decimal"/>
      <w:lvlText w:val="%1."/>
      <w:lvlJc w:val="left"/>
      <w:pPr>
        <w:tabs>
          <w:tab w:val="num" w:pos="720"/>
        </w:tabs>
        <w:ind w:left="720" w:hanging="360"/>
      </w:pPr>
    </w:lvl>
    <w:lvl w:ilvl="1" w:tplc="B874B93E" w:tentative="1">
      <w:start w:val="1"/>
      <w:numFmt w:val="decimal"/>
      <w:lvlText w:val="%2."/>
      <w:lvlJc w:val="left"/>
      <w:pPr>
        <w:tabs>
          <w:tab w:val="num" w:pos="1440"/>
        </w:tabs>
        <w:ind w:left="1440" w:hanging="360"/>
      </w:pPr>
    </w:lvl>
    <w:lvl w:ilvl="2" w:tplc="FCCEFBF2" w:tentative="1">
      <w:start w:val="1"/>
      <w:numFmt w:val="decimal"/>
      <w:lvlText w:val="%3."/>
      <w:lvlJc w:val="left"/>
      <w:pPr>
        <w:tabs>
          <w:tab w:val="num" w:pos="2160"/>
        </w:tabs>
        <w:ind w:left="2160" w:hanging="360"/>
      </w:pPr>
    </w:lvl>
    <w:lvl w:ilvl="3" w:tplc="F76ED502" w:tentative="1">
      <w:start w:val="1"/>
      <w:numFmt w:val="decimal"/>
      <w:lvlText w:val="%4."/>
      <w:lvlJc w:val="left"/>
      <w:pPr>
        <w:tabs>
          <w:tab w:val="num" w:pos="2880"/>
        </w:tabs>
        <w:ind w:left="2880" w:hanging="360"/>
      </w:pPr>
    </w:lvl>
    <w:lvl w:ilvl="4" w:tplc="2D766B28" w:tentative="1">
      <w:start w:val="1"/>
      <w:numFmt w:val="decimal"/>
      <w:lvlText w:val="%5."/>
      <w:lvlJc w:val="left"/>
      <w:pPr>
        <w:tabs>
          <w:tab w:val="num" w:pos="3600"/>
        </w:tabs>
        <w:ind w:left="3600" w:hanging="360"/>
      </w:pPr>
    </w:lvl>
    <w:lvl w:ilvl="5" w:tplc="40EE4BAC" w:tentative="1">
      <w:start w:val="1"/>
      <w:numFmt w:val="decimal"/>
      <w:lvlText w:val="%6."/>
      <w:lvlJc w:val="left"/>
      <w:pPr>
        <w:tabs>
          <w:tab w:val="num" w:pos="4320"/>
        </w:tabs>
        <w:ind w:left="4320" w:hanging="360"/>
      </w:pPr>
    </w:lvl>
    <w:lvl w:ilvl="6" w:tplc="677C594C" w:tentative="1">
      <w:start w:val="1"/>
      <w:numFmt w:val="decimal"/>
      <w:lvlText w:val="%7."/>
      <w:lvlJc w:val="left"/>
      <w:pPr>
        <w:tabs>
          <w:tab w:val="num" w:pos="5040"/>
        </w:tabs>
        <w:ind w:left="5040" w:hanging="360"/>
      </w:pPr>
    </w:lvl>
    <w:lvl w:ilvl="7" w:tplc="1194A040" w:tentative="1">
      <w:start w:val="1"/>
      <w:numFmt w:val="decimal"/>
      <w:lvlText w:val="%8."/>
      <w:lvlJc w:val="left"/>
      <w:pPr>
        <w:tabs>
          <w:tab w:val="num" w:pos="5760"/>
        </w:tabs>
        <w:ind w:left="5760" w:hanging="360"/>
      </w:pPr>
    </w:lvl>
    <w:lvl w:ilvl="8" w:tplc="325EBF2A"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27DFA"/>
    <w:rsid w:val="001B294B"/>
    <w:rsid w:val="001C32E2"/>
    <w:rsid w:val="003006DB"/>
    <w:rsid w:val="0037020A"/>
    <w:rsid w:val="003904A3"/>
    <w:rsid w:val="00511AEC"/>
    <w:rsid w:val="0051459E"/>
    <w:rsid w:val="00692CFB"/>
    <w:rsid w:val="006E7DA9"/>
    <w:rsid w:val="007B134F"/>
    <w:rsid w:val="00827DFA"/>
    <w:rsid w:val="008A1DE9"/>
    <w:rsid w:val="009B14B7"/>
    <w:rsid w:val="009E21A3"/>
    <w:rsid w:val="00A95D73"/>
    <w:rsid w:val="00C15B95"/>
    <w:rsid w:val="00CA5ADC"/>
    <w:rsid w:val="00D82D67"/>
    <w:rsid w:val="00EC3FDB"/>
    <w:rsid w:val="00F508A5"/>
    <w:rsid w:val="00F845BF"/>
    <w:rsid w:val="00FA1098"/>
    <w:rsid w:val="00FA77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D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27DFA"/>
    <w:pPr>
      <w:spacing w:line="240" w:lineRule="auto"/>
    </w:pPr>
    <w:rPr>
      <w:sz w:val="20"/>
      <w:szCs w:val="20"/>
    </w:rPr>
  </w:style>
  <w:style w:type="character" w:customStyle="1" w:styleId="FootnoteTextChar">
    <w:name w:val="Footnote Text Char"/>
    <w:basedOn w:val="DefaultParagraphFont"/>
    <w:link w:val="FootnoteText"/>
    <w:uiPriority w:val="99"/>
    <w:semiHidden/>
    <w:rsid w:val="00827DFA"/>
    <w:rPr>
      <w:sz w:val="20"/>
      <w:szCs w:val="20"/>
    </w:rPr>
  </w:style>
  <w:style w:type="character" w:styleId="FootnoteReference">
    <w:name w:val="footnote reference"/>
    <w:basedOn w:val="DefaultParagraphFont"/>
    <w:uiPriority w:val="99"/>
    <w:semiHidden/>
    <w:unhideWhenUsed/>
    <w:rsid w:val="00827DFA"/>
    <w:rPr>
      <w:vertAlign w:val="superscript"/>
    </w:rPr>
  </w:style>
  <w:style w:type="character" w:styleId="Hyperlink">
    <w:name w:val="Hyperlink"/>
    <w:basedOn w:val="DefaultParagraphFont"/>
    <w:uiPriority w:val="99"/>
    <w:unhideWhenUsed/>
    <w:rsid w:val="00827DFA"/>
    <w:rPr>
      <w:color w:val="0000FF" w:themeColor="hyperlink"/>
      <w:u w:val="single"/>
    </w:rPr>
  </w:style>
  <w:style w:type="paragraph" w:styleId="NormalWeb">
    <w:name w:val="Normal (Web)"/>
    <w:basedOn w:val="Normal"/>
    <w:uiPriority w:val="99"/>
    <w:semiHidden/>
    <w:unhideWhenUsed/>
    <w:rsid w:val="00FA7738"/>
    <w:pPr>
      <w:spacing w:before="100" w:beforeAutospacing="1" w:after="100" w:afterAutospacing="1" w:line="240" w:lineRule="auto"/>
      <w:ind w:left="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7020A"/>
    <w:rPr>
      <w:color w:val="800080" w:themeColor="followedHyperlink"/>
      <w:u w:val="single"/>
    </w:rPr>
  </w:style>
  <w:style w:type="paragraph" w:styleId="Header">
    <w:name w:val="header"/>
    <w:basedOn w:val="Normal"/>
    <w:link w:val="HeaderChar"/>
    <w:uiPriority w:val="99"/>
    <w:semiHidden/>
    <w:unhideWhenUsed/>
    <w:rsid w:val="00F845B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845BF"/>
  </w:style>
  <w:style w:type="paragraph" w:styleId="Footer">
    <w:name w:val="footer"/>
    <w:basedOn w:val="Normal"/>
    <w:link w:val="FooterChar"/>
    <w:uiPriority w:val="99"/>
    <w:unhideWhenUsed/>
    <w:rsid w:val="00F845BF"/>
    <w:pPr>
      <w:tabs>
        <w:tab w:val="center" w:pos="4680"/>
        <w:tab w:val="right" w:pos="9360"/>
      </w:tabs>
      <w:spacing w:line="240" w:lineRule="auto"/>
    </w:pPr>
  </w:style>
  <w:style w:type="character" w:customStyle="1" w:styleId="FooterChar">
    <w:name w:val="Footer Char"/>
    <w:basedOn w:val="DefaultParagraphFont"/>
    <w:link w:val="Footer"/>
    <w:uiPriority w:val="99"/>
    <w:rsid w:val="00F845BF"/>
  </w:style>
  <w:style w:type="paragraph" w:styleId="List2">
    <w:name w:val="List 2"/>
    <w:basedOn w:val="Normal"/>
    <w:rsid w:val="00D82D67"/>
    <w:pPr>
      <w:numPr>
        <w:numId w:val="3"/>
      </w:numPr>
      <w:spacing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555700543">
      <w:bodyDiv w:val="1"/>
      <w:marLeft w:val="0"/>
      <w:marRight w:val="0"/>
      <w:marTop w:val="0"/>
      <w:marBottom w:val="0"/>
      <w:divBdr>
        <w:top w:val="none" w:sz="0" w:space="0" w:color="auto"/>
        <w:left w:val="none" w:sz="0" w:space="0" w:color="auto"/>
        <w:bottom w:val="none" w:sz="0" w:space="0" w:color="auto"/>
        <w:right w:val="none" w:sz="0" w:space="0" w:color="auto"/>
      </w:divBdr>
      <w:divsChild>
        <w:div w:id="1149589334">
          <w:marLeft w:val="360"/>
          <w:marRight w:val="0"/>
          <w:marTop w:val="120"/>
          <w:marBottom w:val="0"/>
          <w:divBdr>
            <w:top w:val="none" w:sz="0" w:space="0" w:color="auto"/>
            <w:left w:val="none" w:sz="0" w:space="0" w:color="auto"/>
            <w:bottom w:val="none" w:sz="0" w:space="0" w:color="auto"/>
            <w:right w:val="none" w:sz="0" w:space="0" w:color="auto"/>
          </w:divBdr>
        </w:div>
        <w:div w:id="711149616">
          <w:marLeft w:val="360"/>
          <w:marRight w:val="0"/>
          <w:marTop w:val="120"/>
          <w:marBottom w:val="0"/>
          <w:divBdr>
            <w:top w:val="none" w:sz="0" w:space="0" w:color="auto"/>
            <w:left w:val="none" w:sz="0" w:space="0" w:color="auto"/>
            <w:bottom w:val="none" w:sz="0" w:space="0" w:color="auto"/>
            <w:right w:val="none" w:sz="0" w:space="0" w:color="auto"/>
          </w:divBdr>
        </w:div>
        <w:div w:id="1925188330">
          <w:marLeft w:val="360"/>
          <w:marRight w:val="0"/>
          <w:marTop w:val="120"/>
          <w:marBottom w:val="0"/>
          <w:divBdr>
            <w:top w:val="none" w:sz="0" w:space="0" w:color="auto"/>
            <w:left w:val="none" w:sz="0" w:space="0" w:color="auto"/>
            <w:bottom w:val="none" w:sz="0" w:space="0" w:color="auto"/>
            <w:right w:val="none" w:sz="0" w:space="0" w:color="auto"/>
          </w:divBdr>
        </w:div>
        <w:div w:id="1178497887">
          <w:marLeft w:val="360"/>
          <w:marRight w:val="0"/>
          <w:marTop w:val="120"/>
          <w:marBottom w:val="0"/>
          <w:divBdr>
            <w:top w:val="none" w:sz="0" w:space="0" w:color="auto"/>
            <w:left w:val="none" w:sz="0" w:space="0" w:color="auto"/>
            <w:bottom w:val="none" w:sz="0" w:space="0" w:color="auto"/>
            <w:right w:val="none" w:sz="0" w:space="0" w:color="auto"/>
          </w:divBdr>
        </w:div>
        <w:div w:id="769467266">
          <w:marLeft w:val="360"/>
          <w:marRight w:val="0"/>
          <w:marTop w:val="120"/>
          <w:marBottom w:val="0"/>
          <w:divBdr>
            <w:top w:val="none" w:sz="0" w:space="0" w:color="auto"/>
            <w:left w:val="none" w:sz="0" w:space="0" w:color="auto"/>
            <w:bottom w:val="none" w:sz="0" w:space="0" w:color="auto"/>
            <w:right w:val="none" w:sz="0" w:space="0" w:color="auto"/>
          </w:divBdr>
        </w:div>
        <w:div w:id="889074923">
          <w:marLeft w:val="547"/>
          <w:marRight w:val="0"/>
          <w:marTop w:val="67"/>
          <w:marBottom w:val="0"/>
          <w:divBdr>
            <w:top w:val="none" w:sz="0" w:space="0" w:color="auto"/>
            <w:left w:val="none" w:sz="0" w:space="0" w:color="auto"/>
            <w:bottom w:val="none" w:sz="0" w:space="0" w:color="auto"/>
            <w:right w:val="none" w:sz="0" w:space="0" w:color="auto"/>
          </w:divBdr>
        </w:div>
        <w:div w:id="790393339">
          <w:marLeft w:val="360"/>
          <w:marRight w:val="0"/>
          <w:marTop w:val="120"/>
          <w:marBottom w:val="0"/>
          <w:divBdr>
            <w:top w:val="none" w:sz="0" w:space="0" w:color="auto"/>
            <w:left w:val="none" w:sz="0" w:space="0" w:color="auto"/>
            <w:bottom w:val="none" w:sz="0" w:space="0" w:color="auto"/>
            <w:right w:val="none" w:sz="0" w:space="0" w:color="auto"/>
          </w:divBdr>
        </w:div>
        <w:div w:id="1162895887">
          <w:marLeft w:val="547"/>
          <w:marRight w:val="0"/>
          <w:marTop w:val="67"/>
          <w:marBottom w:val="0"/>
          <w:divBdr>
            <w:top w:val="none" w:sz="0" w:space="0" w:color="auto"/>
            <w:left w:val="none" w:sz="0" w:space="0" w:color="auto"/>
            <w:bottom w:val="none" w:sz="0" w:space="0" w:color="auto"/>
            <w:right w:val="none" w:sz="0" w:space="0" w:color="auto"/>
          </w:divBdr>
        </w:div>
        <w:div w:id="68308766">
          <w:marLeft w:val="360"/>
          <w:marRight w:val="0"/>
          <w:marTop w:val="120"/>
          <w:marBottom w:val="0"/>
          <w:divBdr>
            <w:top w:val="none" w:sz="0" w:space="0" w:color="auto"/>
            <w:left w:val="none" w:sz="0" w:space="0" w:color="auto"/>
            <w:bottom w:val="none" w:sz="0" w:space="0" w:color="auto"/>
            <w:right w:val="none" w:sz="0" w:space="0" w:color="auto"/>
          </w:divBdr>
        </w:div>
        <w:div w:id="1169976844">
          <w:marLeft w:val="360"/>
          <w:marRight w:val="0"/>
          <w:marTop w:val="120"/>
          <w:marBottom w:val="0"/>
          <w:divBdr>
            <w:top w:val="none" w:sz="0" w:space="0" w:color="auto"/>
            <w:left w:val="none" w:sz="0" w:space="0" w:color="auto"/>
            <w:bottom w:val="none" w:sz="0" w:space="0" w:color="auto"/>
            <w:right w:val="none" w:sz="0" w:space="0" w:color="auto"/>
          </w:divBdr>
        </w:div>
        <w:div w:id="1518812016">
          <w:marLeft w:val="360"/>
          <w:marRight w:val="0"/>
          <w:marTop w:val="120"/>
          <w:marBottom w:val="0"/>
          <w:divBdr>
            <w:top w:val="none" w:sz="0" w:space="0" w:color="auto"/>
            <w:left w:val="none" w:sz="0" w:space="0" w:color="auto"/>
            <w:bottom w:val="none" w:sz="0" w:space="0" w:color="auto"/>
            <w:right w:val="none" w:sz="0" w:space="0" w:color="auto"/>
          </w:divBdr>
        </w:div>
        <w:div w:id="1525165721">
          <w:marLeft w:val="360"/>
          <w:marRight w:val="0"/>
          <w:marTop w:val="120"/>
          <w:marBottom w:val="0"/>
          <w:divBdr>
            <w:top w:val="none" w:sz="0" w:space="0" w:color="auto"/>
            <w:left w:val="none" w:sz="0" w:space="0" w:color="auto"/>
            <w:bottom w:val="none" w:sz="0" w:space="0" w:color="auto"/>
            <w:right w:val="none" w:sz="0" w:space="0" w:color="auto"/>
          </w:divBdr>
        </w:div>
        <w:div w:id="963855112">
          <w:marLeft w:val="360"/>
          <w:marRight w:val="0"/>
          <w:marTop w:val="120"/>
          <w:marBottom w:val="0"/>
          <w:divBdr>
            <w:top w:val="none" w:sz="0" w:space="0" w:color="auto"/>
            <w:left w:val="none" w:sz="0" w:space="0" w:color="auto"/>
            <w:bottom w:val="none" w:sz="0" w:space="0" w:color="auto"/>
            <w:right w:val="none" w:sz="0" w:space="0" w:color="auto"/>
          </w:divBdr>
        </w:div>
      </w:divsChild>
    </w:div>
    <w:div w:id="663703190">
      <w:bodyDiv w:val="1"/>
      <w:marLeft w:val="0"/>
      <w:marRight w:val="0"/>
      <w:marTop w:val="0"/>
      <w:marBottom w:val="0"/>
      <w:divBdr>
        <w:top w:val="none" w:sz="0" w:space="0" w:color="auto"/>
        <w:left w:val="none" w:sz="0" w:space="0" w:color="auto"/>
        <w:bottom w:val="none" w:sz="0" w:space="0" w:color="auto"/>
        <w:right w:val="none" w:sz="0" w:space="0" w:color="auto"/>
      </w:divBdr>
    </w:div>
    <w:div w:id="91508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stone@buffalo.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ddr.org/webcasts/webcast32.html" TargetMode="External"/><Relationship Id="rId5" Type="http://schemas.openxmlformats.org/officeDocument/2006/relationships/webSettings" Target="webSettings.xml"/><Relationship Id="rId10" Type="http://schemas.openxmlformats.org/officeDocument/2006/relationships/hyperlink" Target="http://www.cihr-irsc.gc.ca/e/29418.html" TargetMode="External"/><Relationship Id="rId4" Type="http://schemas.openxmlformats.org/officeDocument/2006/relationships/settings" Target="settings.xml"/><Relationship Id="rId9" Type="http://schemas.openxmlformats.org/officeDocument/2006/relationships/hyperlink" Target="http://kt4tt.buffalo.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054F6-9DDA-473B-AD16-0CC4EC356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vstone</dc:creator>
  <cp:keywords/>
  <dc:description/>
  <cp:lastModifiedBy>vstone</cp:lastModifiedBy>
  <cp:revision>6</cp:revision>
  <cp:lastPrinted>2011-10-28T21:14:00Z</cp:lastPrinted>
  <dcterms:created xsi:type="dcterms:W3CDTF">2011-10-28T18:14:00Z</dcterms:created>
  <dcterms:modified xsi:type="dcterms:W3CDTF">2011-10-28T21:29:00Z</dcterms:modified>
</cp:coreProperties>
</file>