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4D" w:rsidRPr="0023564F" w:rsidRDefault="00236D0C" w:rsidP="00F41D4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Tables Handout</w:t>
      </w:r>
    </w:p>
    <w:p w:rsidR="00F41D48" w:rsidRPr="0023564F" w:rsidRDefault="00F41D48" w:rsidP="00F41D48">
      <w:pPr>
        <w:jc w:val="center"/>
        <w:rPr>
          <w:rFonts w:asciiTheme="minorHAnsi" w:hAnsiTheme="minorHAnsi" w:cstheme="minorHAnsi"/>
          <w:b/>
        </w:rPr>
      </w:pPr>
      <w:r w:rsidRPr="0023564F">
        <w:rPr>
          <w:rFonts w:asciiTheme="minorHAnsi" w:hAnsiTheme="minorHAnsi" w:cstheme="minorHAnsi"/>
          <w:b/>
        </w:rPr>
        <w:t>An Evaluation of the Dynamical Effects of an Out-of-School-Time Program</w:t>
      </w:r>
    </w:p>
    <w:p w:rsidR="00F41D48" w:rsidRPr="0023564F" w:rsidRDefault="00F41D48" w:rsidP="00F41D48">
      <w:pPr>
        <w:jc w:val="center"/>
        <w:rPr>
          <w:rFonts w:asciiTheme="minorHAnsi" w:hAnsiTheme="minorHAnsi" w:cstheme="minorHAnsi"/>
          <w:b/>
        </w:rPr>
      </w:pPr>
    </w:p>
    <w:p w:rsidR="00F41D48" w:rsidRPr="0023564F" w:rsidRDefault="00F41D48" w:rsidP="00F41D48">
      <w:pPr>
        <w:jc w:val="center"/>
        <w:rPr>
          <w:rFonts w:asciiTheme="minorHAnsi" w:hAnsiTheme="minorHAnsi" w:cstheme="minorHAnsi"/>
          <w:b/>
        </w:rPr>
      </w:pPr>
    </w:p>
    <w:p w:rsidR="00F41D48" w:rsidRPr="0023564F" w:rsidRDefault="00236D0C" w:rsidP="00F41D4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“Digging Deeper” (Slide 6) </w:t>
      </w:r>
      <w:r w:rsidR="00F41D48" w:rsidRPr="0023564F">
        <w:rPr>
          <w:rFonts w:asciiTheme="minorHAnsi" w:hAnsiTheme="minorHAnsi" w:cstheme="minorHAnsi"/>
          <w:b/>
        </w:rPr>
        <w:t xml:space="preserve">Points 1 and 2: Program impacts </w:t>
      </w:r>
      <w:r w:rsidR="000161A3">
        <w:rPr>
          <w:rFonts w:asciiTheme="minorHAnsi" w:hAnsiTheme="minorHAnsi" w:cstheme="minorHAnsi"/>
          <w:b/>
        </w:rPr>
        <w:t>were</w:t>
      </w:r>
      <w:r w:rsidR="00F41D48" w:rsidRPr="0023564F">
        <w:rPr>
          <w:rFonts w:asciiTheme="minorHAnsi" w:hAnsiTheme="minorHAnsi" w:cstheme="minorHAnsi"/>
          <w:b/>
        </w:rPr>
        <w:t xml:space="preserve"> not constant over the life of the program</w:t>
      </w:r>
      <w:r>
        <w:rPr>
          <w:rFonts w:asciiTheme="minorHAnsi" w:hAnsiTheme="minorHAnsi" w:cstheme="minorHAnsi"/>
          <w:b/>
        </w:rPr>
        <w:t xml:space="preserve"> but can be improved through process evaluation and program management</w:t>
      </w:r>
      <w:r w:rsidR="00F41D48" w:rsidRPr="0023564F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 xml:space="preserve">In addition, </w:t>
      </w:r>
      <w:r w:rsidR="00F41D48" w:rsidRPr="0023564F">
        <w:rPr>
          <w:rFonts w:asciiTheme="minorHAnsi" w:hAnsiTheme="minorHAnsi" w:cstheme="minorHAnsi"/>
          <w:b/>
        </w:rPr>
        <w:t xml:space="preserve">a failure to take into account randomness (including unreliability) in measurement will lead to the mis-estimation of program effects. </w:t>
      </w:r>
    </w:p>
    <w:p w:rsidR="005F1FDB" w:rsidRPr="0023564F" w:rsidRDefault="005F1FDB" w:rsidP="00F41D48">
      <w:pPr>
        <w:rPr>
          <w:rFonts w:asciiTheme="minorHAnsi" w:hAnsiTheme="minorHAnsi" w:cstheme="minorHAnsi"/>
          <w:b/>
        </w:rPr>
      </w:pPr>
    </w:p>
    <w:p w:rsidR="005F1FDB" w:rsidRPr="0023564F" w:rsidRDefault="005F1FDB" w:rsidP="00F41D48">
      <w:pPr>
        <w:rPr>
          <w:rFonts w:asciiTheme="minorHAnsi" w:hAnsiTheme="minorHAnsi" w:cstheme="minorHAnsi"/>
        </w:rPr>
      </w:pPr>
      <w:r w:rsidRPr="0023564F">
        <w:rPr>
          <w:rFonts w:asciiTheme="minorHAnsi" w:hAnsiTheme="minorHAnsi" w:cstheme="minorHAnsi"/>
        </w:rPr>
        <w:t xml:space="preserve">Randomness in measurement (including unreliability) is a major problem, especially in dealing with over time data (such as panel data) on the same program participants. After all, observed change may be entirely due to </w:t>
      </w:r>
      <w:r w:rsidR="0023564F">
        <w:rPr>
          <w:rFonts w:asciiTheme="minorHAnsi" w:hAnsiTheme="minorHAnsi" w:cstheme="minorHAnsi"/>
        </w:rPr>
        <w:t xml:space="preserve">flawed (especially </w:t>
      </w:r>
      <w:r w:rsidRPr="0023564F">
        <w:rPr>
          <w:rFonts w:asciiTheme="minorHAnsi" w:hAnsiTheme="minorHAnsi" w:cstheme="minorHAnsi"/>
        </w:rPr>
        <w:t>randomness</w:t>
      </w:r>
      <w:r w:rsidR="0023564F">
        <w:rPr>
          <w:rFonts w:asciiTheme="minorHAnsi" w:hAnsiTheme="minorHAnsi" w:cstheme="minorHAnsi"/>
        </w:rPr>
        <w:t xml:space="preserve"> in) measurement</w:t>
      </w:r>
      <w:r w:rsidRPr="0023564F">
        <w:rPr>
          <w:rFonts w:asciiTheme="minorHAnsi" w:hAnsiTheme="minorHAnsi" w:cstheme="minorHAnsi"/>
        </w:rPr>
        <w:t xml:space="preserve"> rather than to true alterations in </w:t>
      </w:r>
      <w:r w:rsidR="00351D41" w:rsidRPr="0023564F">
        <w:rPr>
          <w:rFonts w:asciiTheme="minorHAnsi" w:hAnsiTheme="minorHAnsi" w:cstheme="minorHAnsi"/>
        </w:rPr>
        <w:t xml:space="preserve">participants behavior, knowledge, attitudes, or skills. </w:t>
      </w:r>
    </w:p>
    <w:p w:rsidR="005F1FDB" w:rsidRPr="0023564F" w:rsidRDefault="005F1FDB" w:rsidP="00F41D48">
      <w:pPr>
        <w:rPr>
          <w:rFonts w:asciiTheme="minorHAnsi" w:hAnsiTheme="minorHAnsi" w:cstheme="minorHAnsi"/>
          <w:b/>
        </w:rPr>
      </w:pPr>
    </w:p>
    <w:p w:rsidR="005F1FDB" w:rsidRPr="0023564F" w:rsidRDefault="005F1FDB" w:rsidP="00F41D48">
      <w:pPr>
        <w:rPr>
          <w:rFonts w:asciiTheme="minorHAnsi" w:hAnsiTheme="minorHAnsi" w:cstheme="minorHAnsi"/>
        </w:rPr>
      </w:pPr>
      <w:r w:rsidRPr="0023564F">
        <w:rPr>
          <w:rFonts w:asciiTheme="minorHAnsi" w:hAnsiTheme="minorHAnsi" w:cstheme="minorHAnsi"/>
        </w:rPr>
        <w:t xml:space="preserve">In the first table immediately below, the relationships between the amount of program participation and school absences </w:t>
      </w:r>
      <w:r w:rsidR="00351D41" w:rsidRPr="0023564F">
        <w:rPr>
          <w:rFonts w:asciiTheme="minorHAnsi" w:hAnsiTheme="minorHAnsi" w:cstheme="minorHAnsi"/>
        </w:rPr>
        <w:t xml:space="preserve">(the “dose-response relationship”) </w:t>
      </w:r>
      <w:r w:rsidRPr="0023564F">
        <w:rPr>
          <w:rFonts w:asciiTheme="minorHAnsi" w:hAnsiTheme="minorHAnsi" w:cstheme="minorHAnsi"/>
        </w:rPr>
        <w:t xml:space="preserve">are shown along with the effect of correcting for randomness in measurement. Note also, how the program effects change over the course of the program. </w:t>
      </w:r>
    </w:p>
    <w:p w:rsidR="005F1FDB" w:rsidRPr="0023564F" w:rsidRDefault="005F1FDB" w:rsidP="00F41D48">
      <w:pPr>
        <w:rPr>
          <w:rFonts w:asciiTheme="minorHAnsi" w:hAnsiTheme="minorHAnsi" w:cstheme="minorHAnsi"/>
        </w:rPr>
      </w:pPr>
    </w:p>
    <w:p w:rsidR="005F1FDB" w:rsidRPr="0023564F" w:rsidRDefault="005F1FDB" w:rsidP="005F1FDB">
      <w:pPr>
        <w:rPr>
          <w:rFonts w:asciiTheme="minorHAnsi" w:hAnsiTheme="minorHAnsi" w:cstheme="minorHAnsi"/>
        </w:rPr>
      </w:pPr>
      <w:r w:rsidRPr="00236D0C">
        <w:rPr>
          <w:rFonts w:asciiTheme="minorHAnsi" w:hAnsiTheme="minorHAnsi" w:cstheme="minorHAnsi"/>
          <w:b/>
        </w:rPr>
        <w:t>Table</w:t>
      </w:r>
      <w:r w:rsidR="00236D0C" w:rsidRPr="00236D0C">
        <w:rPr>
          <w:rFonts w:asciiTheme="minorHAnsi" w:hAnsiTheme="minorHAnsi" w:cstheme="minorHAnsi"/>
          <w:b/>
        </w:rPr>
        <w:t xml:space="preserve"> 1</w:t>
      </w:r>
      <w:r w:rsidRPr="00236D0C">
        <w:rPr>
          <w:rFonts w:asciiTheme="minorHAnsi" w:hAnsiTheme="minorHAnsi" w:cstheme="minorHAnsi"/>
          <w:b/>
        </w:rPr>
        <w:t>:</w:t>
      </w:r>
      <w:r w:rsidRPr="0023564F">
        <w:rPr>
          <w:rFonts w:asciiTheme="minorHAnsi" w:hAnsiTheme="minorHAnsi" w:cstheme="minorHAnsi"/>
        </w:rPr>
        <w:t xml:space="preserve"> Program Impact on School Attendance – Standardized Regression Coefficients of </w:t>
      </w:r>
      <w:r w:rsidR="00351D41" w:rsidRPr="0023564F">
        <w:rPr>
          <w:rFonts w:asciiTheme="minorHAnsi" w:hAnsiTheme="minorHAnsi" w:cstheme="minorHAnsi"/>
        </w:rPr>
        <w:t>Degree</w:t>
      </w:r>
      <w:r w:rsidRPr="0023564F">
        <w:rPr>
          <w:rFonts w:asciiTheme="minorHAnsi" w:hAnsiTheme="minorHAnsi" w:cstheme="minorHAnsi"/>
        </w:rPr>
        <w:t xml:space="preserve"> of HK Program Participation on School Absences (n=256</w:t>
      </w:r>
      <w:r w:rsidR="0055654F">
        <w:rPr>
          <w:rFonts w:asciiTheme="minorHAnsi" w:hAnsiTheme="minorHAnsi" w:cstheme="minorHAnsi"/>
        </w:rPr>
        <w:t>; middle, intermediate, and elementary school participants</w:t>
      </w:r>
      <w:r w:rsidRPr="0023564F">
        <w:rPr>
          <w:rFonts w:asciiTheme="minorHAnsi" w:hAnsiTheme="minorHAnsi" w:cstheme="minorHAnsi"/>
        </w:rPr>
        <w:t>)</w:t>
      </w:r>
    </w:p>
    <w:p w:rsidR="005F1FDB" w:rsidRPr="0023564F" w:rsidRDefault="005F1FDB" w:rsidP="005F1FD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F1FDB" w:rsidRPr="0023564F" w:rsidTr="002703AE">
        <w:tc>
          <w:tcPr>
            <w:tcW w:w="2952" w:type="dxa"/>
          </w:tcPr>
          <w:p w:rsidR="005F1FDB" w:rsidRPr="0023564F" w:rsidRDefault="005F1FDB" w:rsidP="002703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Time Period</w:t>
            </w:r>
          </w:p>
        </w:tc>
        <w:tc>
          <w:tcPr>
            <w:tcW w:w="2952" w:type="dxa"/>
          </w:tcPr>
          <w:p w:rsidR="005F1FDB" w:rsidRPr="0023564F" w:rsidRDefault="005F1FDB" w:rsidP="002703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Uncorrected for Randomness in Measurement</w:t>
            </w:r>
          </w:p>
        </w:tc>
        <w:tc>
          <w:tcPr>
            <w:tcW w:w="2952" w:type="dxa"/>
          </w:tcPr>
          <w:p w:rsidR="005F1FDB" w:rsidRPr="0023564F" w:rsidRDefault="005F1FDB" w:rsidP="002703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Corrected for Randomness in Measurement</w:t>
            </w:r>
          </w:p>
        </w:tc>
      </w:tr>
      <w:tr w:rsidR="005F1FDB" w:rsidRPr="0023564F" w:rsidTr="002703AE">
        <w:tc>
          <w:tcPr>
            <w:tcW w:w="2952" w:type="dxa"/>
          </w:tcPr>
          <w:p w:rsidR="005F1FDB" w:rsidRPr="0023564F" w:rsidRDefault="005F1FDB" w:rsidP="005F1FDB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End of program quarter1</w:t>
            </w:r>
          </w:p>
        </w:tc>
        <w:tc>
          <w:tcPr>
            <w:tcW w:w="2952" w:type="dxa"/>
          </w:tcPr>
          <w:p w:rsidR="005F1FDB" w:rsidRPr="0023564F" w:rsidRDefault="005F1FDB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-.43</w:t>
            </w:r>
          </w:p>
        </w:tc>
        <w:tc>
          <w:tcPr>
            <w:tcW w:w="2952" w:type="dxa"/>
          </w:tcPr>
          <w:p w:rsidR="005F1FDB" w:rsidRPr="0023564F" w:rsidRDefault="005F1FDB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-.56</w:t>
            </w:r>
          </w:p>
        </w:tc>
      </w:tr>
      <w:tr w:rsidR="005F1FDB" w:rsidRPr="0023564F" w:rsidTr="002703AE">
        <w:tc>
          <w:tcPr>
            <w:tcW w:w="2952" w:type="dxa"/>
          </w:tcPr>
          <w:p w:rsidR="005F1FDB" w:rsidRPr="0023564F" w:rsidRDefault="005F1FDB" w:rsidP="005F1FDB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End of program quarter 2</w:t>
            </w:r>
          </w:p>
        </w:tc>
        <w:tc>
          <w:tcPr>
            <w:tcW w:w="2952" w:type="dxa"/>
          </w:tcPr>
          <w:p w:rsidR="005F1FDB" w:rsidRPr="0023564F" w:rsidRDefault="005F1FDB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-.40</w:t>
            </w:r>
          </w:p>
        </w:tc>
        <w:tc>
          <w:tcPr>
            <w:tcW w:w="2952" w:type="dxa"/>
          </w:tcPr>
          <w:p w:rsidR="005F1FDB" w:rsidRPr="0023564F" w:rsidRDefault="005F1FDB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-.53</w:t>
            </w:r>
          </w:p>
        </w:tc>
      </w:tr>
      <w:tr w:rsidR="005F1FDB" w:rsidRPr="0023564F" w:rsidTr="002703AE">
        <w:tc>
          <w:tcPr>
            <w:tcW w:w="2952" w:type="dxa"/>
          </w:tcPr>
          <w:p w:rsidR="005F1FDB" w:rsidRPr="0023564F" w:rsidRDefault="005F1FDB" w:rsidP="005F1FDB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End of program quarter 3</w:t>
            </w:r>
          </w:p>
        </w:tc>
        <w:tc>
          <w:tcPr>
            <w:tcW w:w="2952" w:type="dxa"/>
          </w:tcPr>
          <w:p w:rsidR="005F1FDB" w:rsidRPr="0023564F" w:rsidRDefault="005F1FDB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-.33</w:t>
            </w:r>
          </w:p>
        </w:tc>
        <w:tc>
          <w:tcPr>
            <w:tcW w:w="2952" w:type="dxa"/>
          </w:tcPr>
          <w:p w:rsidR="005F1FDB" w:rsidRPr="0023564F" w:rsidRDefault="005F1FDB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-.44</w:t>
            </w:r>
          </w:p>
        </w:tc>
      </w:tr>
      <w:tr w:rsidR="005F1FDB" w:rsidRPr="0023564F" w:rsidTr="002703AE">
        <w:tc>
          <w:tcPr>
            <w:tcW w:w="2952" w:type="dxa"/>
          </w:tcPr>
          <w:p w:rsidR="005F1FDB" w:rsidRPr="0023564F" w:rsidRDefault="005F1FDB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End of program quarter 4</w:t>
            </w:r>
          </w:p>
        </w:tc>
        <w:tc>
          <w:tcPr>
            <w:tcW w:w="2952" w:type="dxa"/>
          </w:tcPr>
          <w:p w:rsidR="005F1FDB" w:rsidRPr="0023564F" w:rsidRDefault="005F1FDB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-.35</w:t>
            </w:r>
          </w:p>
        </w:tc>
        <w:tc>
          <w:tcPr>
            <w:tcW w:w="2952" w:type="dxa"/>
          </w:tcPr>
          <w:p w:rsidR="005F1FDB" w:rsidRPr="0023564F" w:rsidRDefault="005F1FDB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-.46</w:t>
            </w:r>
          </w:p>
        </w:tc>
      </w:tr>
    </w:tbl>
    <w:p w:rsidR="00236D0C" w:rsidRDefault="00236D0C" w:rsidP="00F41D48">
      <w:pPr>
        <w:rPr>
          <w:rFonts w:asciiTheme="minorHAnsi" w:hAnsiTheme="minorHAnsi" w:cstheme="minorHAnsi"/>
        </w:rPr>
      </w:pPr>
    </w:p>
    <w:p w:rsidR="000161A3" w:rsidRDefault="00236D0C" w:rsidP="00F41D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351D41" w:rsidRPr="0023564F">
        <w:rPr>
          <w:rFonts w:asciiTheme="minorHAnsi" w:hAnsiTheme="minorHAnsi" w:cstheme="minorHAnsi"/>
        </w:rPr>
        <w:t xml:space="preserve">n the two following tables, changes in response to the survey question, “I try to handle conflicts with others without hitting or pushing them,” are shown along with a the impact of correcting for unreliability. </w:t>
      </w:r>
    </w:p>
    <w:p w:rsidR="000161A3" w:rsidRDefault="000161A3" w:rsidP="00F41D48">
      <w:pPr>
        <w:rPr>
          <w:rFonts w:asciiTheme="minorHAnsi" w:hAnsiTheme="minorHAnsi" w:cstheme="minorHAnsi"/>
        </w:rPr>
      </w:pPr>
    </w:p>
    <w:p w:rsidR="005F1FDB" w:rsidRPr="0023564F" w:rsidRDefault="00351D41" w:rsidP="00F41D48">
      <w:pPr>
        <w:rPr>
          <w:rFonts w:asciiTheme="minorHAnsi" w:hAnsiTheme="minorHAnsi" w:cstheme="minorHAnsi"/>
        </w:rPr>
      </w:pPr>
      <w:r w:rsidRPr="00236D0C">
        <w:rPr>
          <w:rFonts w:asciiTheme="minorHAnsi" w:hAnsiTheme="minorHAnsi" w:cstheme="minorHAnsi"/>
          <w:i/>
        </w:rPr>
        <w:t>In the tables below “consistent” refers to a survey answer consistent with the Search Institute developmental asset of “peaceful conflict resolution” (number 36)</w:t>
      </w:r>
      <w:r w:rsidRPr="0023564F">
        <w:rPr>
          <w:rFonts w:asciiTheme="minorHAnsi" w:hAnsiTheme="minorHAnsi" w:cstheme="minorHAnsi"/>
        </w:rPr>
        <w:t xml:space="preserve">. </w:t>
      </w:r>
      <w:r w:rsidRPr="00385BFD">
        <w:rPr>
          <w:rFonts w:asciiTheme="minorHAnsi" w:hAnsiTheme="minorHAnsi" w:cstheme="minorHAnsi"/>
          <w:i/>
        </w:rPr>
        <w:t>Not consistent, of course, refers to the opposite kind of response.</w:t>
      </w:r>
      <w:r w:rsidRPr="0023564F">
        <w:rPr>
          <w:rFonts w:asciiTheme="minorHAnsi" w:hAnsiTheme="minorHAnsi" w:cstheme="minorHAnsi"/>
        </w:rPr>
        <w:t xml:space="preserve"> Finally</w:t>
      </w:r>
      <w:r w:rsidR="0023564F">
        <w:rPr>
          <w:rFonts w:asciiTheme="minorHAnsi" w:hAnsiTheme="minorHAnsi" w:cstheme="minorHAnsi"/>
        </w:rPr>
        <w:t xml:space="preserve">, the table entries are the proportions of total cases. </w:t>
      </w:r>
    </w:p>
    <w:p w:rsidR="00351D41" w:rsidRPr="0023564F" w:rsidRDefault="00351D41" w:rsidP="00F41D48">
      <w:pPr>
        <w:rPr>
          <w:rFonts w:asciiTheme="minorHAnsi" w:hAnsiTheme="minorHAnsi" w:cstheme="minorHAnsi"/>
        </w:rPr>
      </w:pPr>
    </w:p>
    <w:p w:rsidR="00351D41" w:rsidRPr="0023564F" w:rsidRDefault="00351D41" w:rsidP="00351D41">
      <w:pPr>
        <w:rPr>
          <w:rFonts w:asciiTheme="minorHAnsi" w:hAnsiTheme="minorHAnsi" w:cstheme="minorHAnsi"/>
        </w:rPr>
      </w:pPr>
      <w:r w:rsidRPr="0023564F">
        <w:rPr>
          <w:rFonts w:asciiTheme="minorHAnsi" w:hAnsiTheme="minorHAnsi" w:cstheme="minorHAnsi"/>
        </w:rPr>
        <w:t xml:space="preserve">Q6. I try to handle conflicts with others without hitting or pushing them. </w:t>
      </w:r>
      <w:proofErr w:type="gramStart"/>
      <w:r w:rsidRPr="0023564F">
        <w:rPr>
          <w:rFonts w:asciiTheme="minorHAnsi" w:hAnsiTheme="minorHAnsi" w:cstheme="minorHAnsi"/>
        </w:rPr>
        <w:t>(Asset 36 Peaceful Conflict Resolution.)</w:t>
      </w:r>
      <w:proofErr w:type="gramEnd"/>
      <w:r w:rsidR="004E44B1" w:rsidRPr="0023564F">
        <w:rPr>
          <w:rFonts w:asciiTheme="minorHAnsi" w:hAnsiTheme="minorHAnsi" w:cstheme="minorHAnsi"/>
        </w:rPr>
        <w:t xml:space="preserve"> </w:t>
      </w:r>
    </w:p>
    <w:p w:rsidR="00351D41" w:rsidRPr="0023564F" w:rsidRDefault="00351D41" w:rsidP="00351D41">
      <w:pPr>
        <w:rPr>
          <w:rFonts w:asciiTheme="minorHAnsi" w:hAnsiTheme="minorHAnsi" w:cstheme="minorHAnsi"/>
        </w:rPr>
      </w:pPr>
    </w:p>
    <w:p w:rsidR="004E44B1" w:rsidRDefault="00236D0C" w:rsidP="00351D41">
      <w:pPr>
        <w:rPr>
          <w:rFonts w:asciiTheme="minorHAnsi" w:hAnsiTheme="minorHAnsi" w:cstheme="minorHAnsi"/>
        </w:rPr>
      </w:pPr>
      <w:proofErr w:type="gramStart"/>
      <w:r w:rsidRPr="00236D0C">
        <w:rPr>
          <w:rFonts w:asciiTheme="minorHAnsi" w:hAnsiTheme="minorHAnsi" w:cstheme="minorHAnsi"/>
          <w:b/>
        </w:rPr>
        <w:t>Table 2.</w:t>
      </w:r>
      <w:proofErr w:type="gramEnd"/>
      <w:r>
        <w:rPr>
          <w:rFonts w:asciiTheme="minorHAnsi" w:hAnsiTheme="minorHAnsi" w:cstheme="minorHAnsi"/>
        </w:rPr>
        <w:t xml:space="preserve"> Responses to survey question at t</w:t>
      </w:r>
      <w:r w:rsidR="00351D41" w:rsidRPr="0023564F">
        <w:rPr>
          <w:rFonts w:asciiTheme="minorHAnsi" w:hAnsiTheme="minorHAnsi" w:cstheme="minorHAnsi"/>
        </w:rPr>
        <w:t>ime</w:t>
      </w:r>
      <w:r>
        <w:rPr>
          <w:rFonts w:asciiTheme="minorHAnsi" w:hAnsiTheme="minorHAnsi" w:cstheme="minorHAnsi"/>
        </w:rPr>
        <w:t>s 1 and 2</w:t>
      </w:r>
      <w:r w:rsidR="00351D41" w:rsidRPr="002356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(p</w:t>
      </w:r>
      <w:r w:rsidRPr="0023564F">
        <w:rPr>
          <w:rFonts w:asciiTheme="minorHAnsi" w:hAnsiTheme="minorHAnsi" w:cstheme="minorHAnsi"/>
        </w:rPr>
        <w:t>roportions of total cases</w:t>
      </w:r>
      <w:r>
        <w:rPr>
          <w:rFonts w:asciiTheme="minorHAnsi" w:hAnsiTheme="minorHAnsi" w:cstheme="minorHAnsi"/>
        </w:rPr>
        <w:t>)</w:t>
      </w:r>
      <w:r w:rsidRPr="0023564F">
        <w:rPr>
          <w:rFonts w:asciiTheme="minorHAnsi" w:hAnsiTheme="minorHAnsi" w:cstheme="minorHAnsi"/>
        </w:rPr>
        <w:t xml:space="preserve"> </w:t>
      </w:r>
      <w:r w:rsidR="0055654F">
        <w:rPr>
          <w:rFonts w:asciiTheme="minorHAnsi" w:hAnsiTheme="minorHAnsi" w:cstheme="minorHAnsi"/>
        </w:rPr>
        <w:t>(n=73; intermediate school students with three points of observation)</w:t>
      </w:r>
    </w:p>
    <w:p w:rsidR="00236D0C" w:rsidRPr="0023564F" w:rsidRDefault="00236D0C" w:rsidP="00351D4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51D41" w:rsidRPr="0023564F" w:rsidTr="002703AE"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Time 1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Time 2</w:t>
            </w:r>
          </w:p>
        </w:tc>
        <w:tc>
          <w:tcPr>
            <w:tcW w:w="2214" w:type="dxa"/>
          </w:tcPr>
          <w:p w:rsidR="004E44B1" w:rsidRPr="0023564F" w:rsidRDefault="00351D41" w:rsidP="00351D41">
            <w:pPr>
              <w:ind w:left="720" w:hanging="72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 xml:space="preserve">“True” </w:t>
            </w:r>
          </w:p>
          <w:p w:rsidR="004E44B1" w:rsidRPr="0023564F" w:rsidRDefault="004E44B1" w:rsidP="004E44B1">
            <w:pPr>
              <w:ind w:left="720" w:hanging="72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P</w:t>
            </w:r>
            <w:r w:rsidR="00351D41" w:rsidRPr="0023564F">
              <w:rPr>
                <w:rFonts w:asciiTheme="minorHAnsi" w:hAnsiTheme="minorHAnsi" w:cstheme="minorHAnsi"/>
                <w:b/>
              </w:rPr>
              <w:t>roportions</w:t>
            </w:r>
          </w:p>
          <w:p w:rsidR="004E44B1" w:rsidRPr="0023564F" w:rsidRDefault="004E44B1" w:rsidP="004E44B1">
            <w:pPr>
              <w:ind w:left="720" w:hanging="72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 xml:space="preserve"> </w:t>
            </w:r>
            <w:r w:rsidR="00351D41" w:rsidRPr="0023564F">
              <w:rPr>
                <w:rFonts w:asciiTheme="minorHAnsi" w:hAnsiTheme="minorHAnsi" w:cstheme="minorHAnsi"/>
                <w:b/>
              </w:rPr>
              <w:t>(cor</w:t>
            </w:r>
            <w:r w:rsidRPr="0023564F">
              <w:rPr>
                <w:rFonts w:asciiTheme="minorHAnsi" w:hAnsiTheme="minorHAnsi" w:cstheme="minorHAnsi"/>
                <w:b/>
              </w:rPr>
              <w:t>rected for</w:t>
            </w:r>
          </w:p>
          <w:p w:rsidR="004E44B1" w:rsidRPr="0023564F" w:rsidRDefault="004E44B1" w:rsidP="004E44B1">
            <w:pPr>
              <w:ind w:left="720" w:hanging="72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 xml:space="preserve"> r</w:t>
            </w:r>
            <w:r w:rsidR="00351D41" w:rsidRPr="0023564F">
              <w:rPr>
                <w:rFonts w:asciiTheme="minorHAnsi" w:hAnsiTheme="minorHAnsi" w:cstheme="minorHAnsi"/>
                <w:b/>
              </w:rPr>
              <w:t>andom</w:t>
            </w:r>
          </w:p>
          <w:p w:rsidR="00351D41" w:rsidRPr="0023564F" w:rsidRDefault="00351D41" w:rsidP="004E44B1">
            <w:pPr>
              <w:ind w:left="720" w:hanging="72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 xml:space="preserve"> responses)</w:t>
            </w:r>
          </w:p>
        </w:tc>
        <w:tc>
          <w:tcPr>
            <w:tcW w:w="2214" w:type="dxa"/>
          </w:tcPr>
          <w:p w:rsidR="00351D41" w:rsidRPr="0023564F" w:rsidRDefault="00351D41" w:rsidP="00351D41">
            <w:pPr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Observed proportions</w:t>
            </w:r>
          </w:p>
        </w:tc>
      </w:tr>
      <w:tr w:rsidR="00351D41" w:rsidRPr="0023564F" w:rsidTr="002703AE"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.245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.192</w:t>
            </w:r>
          </w:p>
        </w:tc>
      </w:tr>
      <w:tr w:rsidR="00351D41" w:rsidRPr="0023564F" w:rsidTr="002703AE"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Not 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.080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.096</w:t>
            </w:r>
          </w:p>
        </w:tc>
      </w:tr>
      <w:tr w:rsidR="00351D41" w:rsidRPr="0023564F" w:rsidTr="002703AE"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Not 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.083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.137</w:t>
            </w:r>
          </w:p>
        </w:tc>
      </w:tr>
      <w:tr w:rsidR="00351D41" w:rsidRPr="0023564F" w:rsidTr="002703AE"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Not 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Not 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.592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.575</w:t>
            </w:r>
          </w:p>
        </w:tc>
      </w:tr>
    </w:tbl>
    <w:p w:rsidR="00351D41" w:rsidRPr="0023564F" w:rsidRDefault="00351D41" w:rsidP="00351D41">
      <w:pPr>
        <w:rPr>
          <w:rFonts w:asciiTheme="minorHAnsi" w:hAnsiTheme="minorHAnsi" w:cstheme="minorHAnsi"/>
        </w:rPr>
      </w:pPr>
    </w:p>
    <w:p w:rsidR="00351D41" w:rsidRDefault="00236D0C" w:rsidP="00351D41">
      <w:pPr>
        <w:rPr>
          <w:rFonts w:asciiTheme="minorHAnsi" w:hAnsiTheme="minorHAnsi" w:cstheme="minorHAnsi"/>
        </w:rPr>
      </w:pPr>
      <w:proofErr w:type="gramStart"/>
      <w:r w:rsidRPr="003825BE">
        <w:rPr>
          <w:rFonts w:asciiTheme="minorHAnsi" w:hAnsiTheme="minorHAnsi" w:cstheme="minorHAnsi"/>
          <w:b/>
        </w:rPr>
        <w:t>Table 3.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Responses to survey question at time 2 and t</w:t>
      </w:r>
      <w:r w:rsidR="000161A3">
        <w:rPr>
          <w:rFonts w:asciiTheme="minorHAnsi" w:hAnsiTheme="minorHAnsi" w:cstheme="minorHAnsi"/>
        </w:rPr>
        <w:t xml:space="preserve">ime 3 </w:t>
      </w:r>
      <w:r>
        <w:rPr>
          <w:rFonts w:asciiTheme="minorHAnsi" w:hAnsiTheme="minorHAnsi" w:cstheme="minorHAnsi"/>
        </w:rPr>
        <w:t>(proportions of total cases).</w:t>
      </w:r>
      <w:proofErr w:type="gramEnd"/>
    </w:p>
    <w:p w:rsidR="0055654F" w:rsidRDefault="0055654F" w:rsidP="005565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(n=73; intermediate school students with three points of observation)</w:t>
      </w:r>
    </w:p>
    <w:p w:rsidR="0055654F" w:rsidRPr="0023564F" w:rsidRDefault="0055654F" w:rsidP="0055654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51D41" w:rsidRPr="0023564F" w:rsidTr="002703AE"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 xml:space="preserve">Time </w:t>
            </w:r>
            <w:r w:rsidR="00385BF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 xml:space="preserve">Time </w:t>
            </w:r>
            <w:r w:rsidR="00385BF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214" w:type="dxa"/>
          </w:tcPr>
          <w:p w:rsidR="004E44B1" w:rsidRPr="0023564F" w:rsidRDefault="004E44B1" w:rsidP="004E44B1">
            <w:pPr>
              <w:ind w:left="720" w:hanging="72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 xml:space="preserve">“True” </w:t>
            </w:r>
          </w:p>
          <w:p w:rsidR="004E44B1" w:rsidRPr="0023564F" w:rsidRDefault="004E44B1" w:rsidP="004E44B1">
            <w:pPr>
              <w:ind w:left="720" w:hanging="72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Proportions</w:t>
            </w:r>
          </w:p>
          <w:p w:rsidR="004E44B1" w:rsidRPr="0023564F" w:rsidRDefault="004E44B1" w:rsidP="004E44B1">
            <w:pPr>
              <w:ind w:left="720" w:hanging="72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 xml:space="preserve"> (corrected for</w:t>
            </w:r>
          </w:p>
          <w:p w:rsidR="004E44B1" w:rsidRPr="0023564F" w:rsidRDefault="004E44B1" w:rsidP="004E44B1">
            <w:pPr>
              <w:ind w:left="720" w:hanging="72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 xml:space="preserve"> random</w:t>
            </w:r>
          </w:p>
          <w:p w:rsidR="00351D41" w:rsidRPr="0023564F" w:rsidRDefault="004E44B1" w:rsidP="004E44B1">
            <w:pPr>
              <w:ind w:left="720" w:hanging="720"/>
              <w:jc w:val="both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 xml:space="preserve">         responses)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Observed proportions</w:t>
            </w:r>
          </w:p>
        </w:tc>
      </w:tr>
      <w:tr w:rsidR="00351D41" w:rsidRPr="0023564F" w:rsidTr="002703AE"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.232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.233</w:t>
            </w:r>
          </w:p>
        </w:tc>
      </w:tr>
      <w:tr w:rsidR="00351D41" w:rsidRPr="0023564F" w:rsidTr="002703AE"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Not 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.112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.096</w:t>
            </w:r>
          </w:p>
        </w:tc>
      </w:tr>
      <w:tr w:rsidR="00351D41" w:rsidRPr="0023564F" w:rsidTr="002703AE"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Not 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.194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.192</w:t>
            </w:r>
          </w:p>
        </w:tc>
      </w:tr>
      <w:tr w:rsidR="00351D41" w:rsidRPr="0023564F" w:rsidTr="002703AE"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Not 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Not Consistent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.462</w:t>
            </w:r>
          </w:p>
        </w:tc>
        <w:tc>
          <w:tcPr>
            <w:tcW w:w="2214" w:type="dxa"/>
          </w:tcPr>
          <w:p w:rsidR="00351D41" w:rsidRPr="0023564F" w:rsidRDefault="00351D41" w:rsidP="002703AE">
            <w:pPr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.479</w:t>
            </w:r>
          </w:p>
        </w:tc>
      </w:tr>
    </w:tbl>
    <w:p w:rsidR="00F378AF" w:rsidRDefault="00F378AF" w:rsidP="00F378AF">
      <w:pPr>
        <w:rPr>
          <w:rFonts w:asciiTheme="minorHAnsi" w:hAnsiTheme="minorHAnsi" w:cstheme="minorHAnsi"/>
        </w:rPr>
      </w:pPr>
    </w:p>
    <w:p w:rsidR="00236D0C" w:rsidRDefault="00385BFD" w:rsidP="00F378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 that over the three time periods that about 28% (.083+.194) were “converted” from survey responses that were not consistent with the asset to responses that were consistent. On the other hand, about 19% of subjects were “backsliders,” moving from consistent to not consistent survey responses. Yet, overall there was quite a net improvement. Additionally, about 23% were </w:t>
      </w:r>
      <w:r w:rsidR="003825BE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maintainers</w:t>
      </w:r>
      <w:r w:rsidR="003825BE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– participants whose feelings </w:t>
      </w:r>
      <w:r w:rsidR="003825BE">
        <w:rPr>
          <w:rFonts w:asciiTheme="minorHAnsi" w:hAnsiTheme="minorHAnsi" w:cstheme="minorHAnsi"/>
        </w:rPr>
        <w:t xml:space="preserve">about peaceful conflict resolution (q6) were in favor (consistent) throughout, apparently having had their feelings reinforced by the program. </w:t>
      </w:r>
    </w:p>
    <w:p w:rsidR="00F378AF" w:rsidRDefault="00F378AF" w:rsidP="00F378AF">
      <w:pPr>
        <w:rPr>
          <w:rFonts w:asciiTheme="minorHAnsi" w:hAnsiTheme="minorHAnsi" w:cstheme="minorHAnsi"/>
        </w:rPr>
      </w:pPr>
    </w:p>
    <w:p w:rsidR="004D41E5" w:rsidRPr="0023564F" w:rsidRDefault="003825BE" w:rsidP="00F378AF">
      <w:pPr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 xml:space="preserve">Digging Deeper (Slide 6) </w:t>
      </w:r>
      <w:r w:rsidR="004D41E5" w:rsidRPr="0023564F">
        <w:rPr>
          <w:rFonts w:asciiTheme="minorHAnsi" w:hAnsiTheme="minorHAnsi" w:cstheme="minorHAnsi"/>
          <w:b/>
        </w:rPr>
        <w:t>Point 3: The importance of identifying those participants not changed by a program.</w:t>
      </w:r>
      <w:proofErr w:type="gramEnd"/>
    </w:p>
    <w:p w:rsidR="004D41E5" w:rsidRPr="0023564F" w:rsidRDefault="004D41E5" w:rsidP="004D41E5">
      <w:pPr>
        <w:ind w:left="720" w:hanging="720"/>
        <w:rPr>
          <w:rFonts w:asciiTheme="minorHAnsi" w:hAnsiTheme="minorHAnsi" w:cstheme="minorHAnsi"/>
          <w:b/>
        </w:rPr>
      </w:pPr>
    </w:p>
    <w:p w:rsidR="004D41E5" w:rsidRPr="0023564F" w:rsidRDefault="003825BE" w:rsidP="004D41E5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Among the participants, w</w:t>
      </w:r>
      <w:r w:rsidR="004D41E5" w:rsidRPr="0023564F">
        <w:rPr>
          <w:rFonts w:asciiTheme="minorHAnsi" w:hAnsiTheme="minorHAnsi" w:cstheme="minorHAnsi"/>
        </w:rPr>
        <w:t xml:space="preserve">ho was not “reached” by the Houston’s Kids Program? </w:t>
      </w:r>
    </w:p>
    <w:p w:rsidR="004D41E5" w:rsidRPr="0023564F" w:rsidRDefault="004D41E5" w:rsidP="004D41E5">
      <w:pPr>
        <w:ind w:left="720" w:hanging="720"/>
        <w:rPr>
          <w:rFonts w:asciiTheme="minorHAnsi" w:hAnsiTheme="minorHAnsi" w:cstheme="minorHAnsi"/>
        </w:rPr>
      </w:pPr>
    </w:p>
    <w:p w:rsidR="004D41E5" w:rsidRPr="0023564F" w:rsidRDefault="004D41E5" w:rsidP="004D41E5">
      <w:pPr>
        <w:rPr>
          <w:rFonts w:asciiTheme="minorHAnsi" w:hAnsiTheme="minorHAnsi" w:cstheme="minorHAnsi"/>
        </w:rPr>
      </w:pPr>
      <w:r w:rsidRPr="0023564F">
        <w:rPr>
          <w:rFonts w:asciiTheme="minorHAnsi" w:hAnsiTheme="minorHAnsi" w:cstheme="minorHAnsi"/>
        </w:rPr>
        <w:t xml:space="preserve">In the table </w:t>
      </w:r>
      <w:r w:rsidR="00165316" w:rsidRPr="0023564F">
        <w:rPr>
          <w:rFonts w:asciiTheme="minorHAnsi" w:hAnsiTheme="minorHAnsi" w:cstheme="minorHAnsi"/>
        </w:rPr>
        <w:t xml:space="preserve">immediately </w:t>
      </w:r>
      <w:r w:rsidRPr="0023564F">
        <w:rPr>
          <w:rFonts w:asciiTheme="minorHAnsi" w:hAnsiTheme="minorHAnsi" w:cstheme="minorHAnsi"/>
        </w:rPr>
        <w:t xml:space="preserve">below, the “resisters to change,” those throughout the </w:t>
      </w:r>
      <w:r w:rsidR="00165316" w:rsidRPr="0023564F">
        <w:rPr>
          <w:rFonts w:asciiTheme="minorHAnsi" w:hAnsiTheme="minorHAnsi" w:cstheme="minorHAnsi"/>
        </w:rPr>
        <w:t xml:space="preserve">time of the </w:t>
      </w:r>
      <w:proofErr w:type="gramStart"/>
      <w:r w:rsidR="00165316" w:rsidRPr="0023564F">
        <w:rPr>
          <w:rFonts w:asciiTheme="minorHAnsi" w:hAnsiTheme="minorHAnsi" w:cstheme="minorHAnsi"/>
        </w:rPr>
        <w:t>program</w:t>
      </w:r>
      <w:proofErr w:type="gramEnd"/>
      <w:r w:rsidRPr="0023564F">
        <w:rPr>
          <w:rFonts w:asciiTheme="minorHAnsi" w:hAnsiTheme="minorHAnsi" w:cstheme="minorHAnsi"/>
        </w:rPr>
        <w:t xml:space="preserve"> who </w:t>
      </w:r>
      <w:r w:rsidRPr="003825BE">
        <w:rPr>
          <w:rFonts w:asciiTheme="minorHAnsi" w:hAnsiTheme="minorHAnsi" w:cstheme="minorHAnsi"/>
          <w:i/>
        </w:rPr>
        <w:t xml:space="preserve">never provided a response consistent with the Search Developmental </w:t>
      </w:r>
      <w:r w:rsidRPr="003825BE">
        <w:rPr>
          <w:rFonts w:asciiTheme="minorHAnsi" w:hAnsiTheme="minorHAnsi" w:cstheme="minorHAnsi"/>
          <w:i/>
        </w:rPr>
        <w:lastRenderedPageBreak/>
        <w:t>Asset 36,</w:t>
      </w:r>
      <w:r w:rsidRPr="0023564F">
        <w:rPr>
          <w:rFonts w:asciiTheme="minorHAnsi" w:hAnsiTheme="minorHAnsi" w:cstheme="minorHAnsi"/>
        </w:rPr>
        <w:t xml:space="preserve"> are shown. As will be seen, </w:t>
      </w:r>
      <w:r w:rsidR="00165316" w:rsidRPr="0023564F">
        <w:rPr>
          <w:rFonts w:asciiTheme="minorHAnsi" w:hAnsiTheme="minorHAnsi" w:cstheme="minorHAnsi"/>
        </w:rPr>
        <w:t xml:space="preserve">boys were more resistant to change than girls while there were no differences between participants in the fifth and sixth grade. </w:t>
      </w:r>
    </w:p>
    <w:p w:rsidR="004D41E5" w:rsidRPr="0023564F" w:rsidRDefault="004D41E5" w:rsidP="004D41E5">
      <w:pPr>
        <w:rPr>
          <w:rFonts w:asciiTheme="minorHAnsi" w:hAnsiTheme="minorHAnsi" w:cstheme="minorHAnsi"/>
        </w:rPr>
      </w:pPr>
    </w:p>
    <w:p w:rsidR="0055654F" w:rsidRDefault="003825BE" w:rsidP="0055654F">
      <w:pPr>
        <w:rPr>
          <w:rFonts w:asciiTheme="minorHAnsi" w:hAnsiTheme="minorHAnsi" w:cstheme="minorHAnsi"/>
        </w:rPr>
      </w:pPr>
      <w:r w:rsidRPr="003825BE">
        <w:rPr>
          <w:rFonts w:asciiTheme="minorHAnsi" w:hAnsiTheme="minorHAnsi" w:cstheme="minorHAnsi"/>
          <w:b/>
        </w:rPr>
        <w:t xml:space="preserve">Table 4: </w:t>
      </w:r>
      <w:r w:rsidR="00165316" w:rsidRPr="003825BE">
        <w:rPr>
          <w:rFonts w:asciiTheme="minorHAnsi" w:hAnsiTheme="minorHAnsi" w:cstheme="minorHAnsi"/>
        </w:rPr>
        <w:t xml:space="preserve">Resisters </w:t>
      </w:r>
      <w:r>
        <w:rPr>
          <w:rFonts w:asciiTheme="minorHAnsi" w:hAnsiTheme="minorHAnsi" w:cstheme="minorHAnsi"/>
        </w:rPr>
        <w:t>to change</w:t>
      </w:r>
      <w:r w:rsidR="00165316" w:rsidRPr="003825BE">
        <w:rPr>
          <w:rFonts w:asciiTheme="minorHAnsi" w:hAnsiTheme="minorHAnsi" w:cstheme="minorHAnsi"/>
        </w:rPr>
        <w:t>-- baseline to end of program</w:t>
      </w:r>
      <w:r w:rsidR="0055654F">
        <w:rPr>
          <w:rFonts w:asciiTheme="minorHAnsi" w:hAnsiTheme="minorHAnsi" w:cstheme="minorHAnsi"/>
        </w:rPr>
        <w:t xml:space="preserve"> </w:t>
      </w:r>
      <w:r w:rsidR="0055654F">
        <w:rPr>
          <w:rFonts w:asciiTheme="minorHAnsi" w:hAnsiTheme="minorHAnsi" w:cstheme="minorHAnsi"/>
        </w:rPr>
        <w:t>(n=73; intermediate school students with three points of observation)</w:t>
      </w:r>
    </w:p>
    <w:p w:rsidR="0055654F" w:rsidRPr="0023564F" w:rsidRDefault="0055654F" w:rsidP="0055654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165316" w:rsidRPr="0023564F" w:rsidTr="0055654F"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Grade</w:t>
            </w: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5</w:t>
            </w:r>
            <w:r w:rsidRPr="0023564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23564F">
              <w:rPr>
                <w:rFonts w:asciiTheme="minorHAnsi" w:hAnsiTheme="minorHAnsi" w:cstheme="minorHAnsi"/>
                <w:b/>
              </w:rPr>
              <w:t xml:space="preserve"> graders</w:t>
            </w: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6</w:t>
            </w:r>
            <w:r w:rsidRPr="0023564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23564F">
              <w:rPr>
                <w:rFonts w:asciiTheme="minorHAnsi" w:hAnsiTheme="minorHAnsi" w:cstheme="minorHAnsi"/>
                <w:b/>
              </w:rPr>
              <w:t xml:space="preserve"> graders</w:t>
            </w:r>
          </w:p>
        </w:tc>
      </w:tr>
      <w:tr w:rsidR="00165316" w:rsidRPr="0023564F" w:rsidTr="0055654F"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39%</w:t>
            </w: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40%</w:t>
            </w:r>
          </w:p>
        </w:tc>
      </w:tr>
      <w:tr w:rsidR="00165316" w:rsidRPr="0023564F" w:rsidTr="0055654F"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G</w:t>
            </w:r>
            <w:r w:rsidR="003825BE">
              <w:rPr>
                <w:rFonts w:asciiTheme="minorHAnsi" w:hAnsiTheme="minorHAnsi" w:cstheme="minorHAnsi"/>
                <w:b/>
              </w:rPr>
              <w:t>irls</w:t>
            </w: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B</w:t>
            </w:r>
            <w:r w:rsidR="003825BE">
              <w:rPr>
                <w:rFonts w:asciiTheme="minorHAnsi" w:hAnsiTheme="minorHAnsi" w:cstheme="minorHAnsi"/>
                <w:b/>
              </w:rPr>
              <w:t>oys</w:t>
            </w:r>
          </w:p>
        </w:tc>
      </w:tr>
      <w:tr w:rsidR="00165316" w:rsidRPr="0023564F" w:rsidTr="0055654F"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32%</w:t>
            </w: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50%</w:t>
            </w:r>
          </w:p>
        </w:tc>
      </w:tr>
    </w:tbl>
    <w:p w:rsidR="00165316" w:rsidRDefault="003825BE" w:rsidP="0016531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Notes: Table entries show the percent in each category of grade level and race that were resistant to change.</w:t>
      </w:r>
    </w:p>
    <w:p w:rsidR="003825BE" w:rsidRPr="0023564F" w:rsidRDefault="003825BE" w:rsidP="00165316">
      <w:pPr>
        <w:pStyle w:val="ListParagraph"/>
        <w:rPr>
          <w:rFonts w:asciiTheme="minorHAnsi" w:hAnsiTheme="minorHAnsi" w:cstheme="minorHAnsi"/>
        </w:rPr>
      </w:pPr>
    </w:p>
    <w:p w:rsidR="00165316" w:rsidRPr="003825BE" w:rsidRDefault="003825BE" w:rsidP="003825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is evident from the table above, b</w:t>
      </w:r>
      <w:r w:rsidR="00165316" w:rsidRPr="003825BE">
        <w:rPr>
          <w:rFonts w:asciiTheme="minorHAnsi" w:hAnsiTheme="minorHAnsi" w:cstheme="minorHAnsi"/>
        </w:rPr>
        <w:t xml:space="preserve">oys were more </w:t>
      </w:r>
      <w:r w:rsidR="00165316" w:rsidRPr="003825BE">
        <w:rPr>
          <w:rFonts w:asciiTheme="minorHAnsi" w:hAnsiTheme="minorHAnsi" w:cstheme="minorHAnsi"/>
          <w:i/>
          <w:u w:val="single"/>
        </w:rPr>
        <w:t>unlikely</w:t>
      </w:r>
      <w:r w:rsidR="00165316" w:rsidRPr="003825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than girls </w:t>
      </w:r>
      <w:r w:rsidR="00165316" w:rsidRPr="003825BE">
        <w:rPr>
          <w:rFonts w:asciiTheme="minorHAnsi" w:hAnsiTheme="minorHAnsi" w:cstheme="minorHAnsi"/>
        </w:rPr>
        <w:t xml:space="preserve">to move toward the Search Development Asset of </w:t>
      </w:r>
      <w:r>
        <w:rPr>
          <w:rFonts w:asciiTheme="minorHAnsi" w:hAnsiTheme="minorHAnsi" w:cstheme="minorHAnsi"/>
        </w:rPr>
        <w:t xml:space="preserve">peaceful conflict resolution.  </w:t>
      </w:r>
      <w:r w:rsidR="00165316" w:rsidRPr="003825BE">
        <w:rPr>
          <w:rFonts w:asciiTheme="minorHAnsi" w:hAnsiTheme="minorHAnsi" w:cstheme="minorHAnsi"/>
        </w:rPr>
        <w:t xml:space="preserve">Half of all boys who remained with the program throughout the year were not changed in the direction of </w:t>
      </w:r>
      <w:r>
        <w:rPr>
          <w:rFonts w:asciiTheme="minorHAnsi" w:hAnsiTheme="minorHAnsi" w:cstheme="minorHAnsi"/>
        </w:rPr>
        <w:t>Search Institute 36</w:t>
      </w:r>
      <w:r w:rsidR="00165316" w:rsidRPr="003825BE">
        <w:rPr>
          <w:rFonts w:asciiTheme="minorHAnsi" w:hAnsiTheme="minorHAnsi" w:cstheme="minorHAnsi"/>
        </w:rPr>
        <w:t>.</w:t>
      </w:r>
    </w:p>
    <w:p w:rsidR="00165316" w:rsidRPr="0023564F" w:rsidRDefault="00165316" w:rsidP="004D41E5">
      <w:pPr>
        <w:rPr>
          <w:rFonts w:asciiTheme="minorHAnsi" w:hAnsiTheme="minorHAnsi" w:cstheme="minorHAnsi"/>
        </w:rPr>
      </w:pPr>
    </w:p>
    <w:p w:rsidR="00165316" w:rsidRPr="0023564F" w:rsidRDefault="00165316" w:rsidP="004D41E5">
      <w:pPr>
        <w:rPr>
          <w:rFonts w:asciiTheme="minorHAnsi" w:hAnsiTheme="minorHAnsi" w:cstheme="minorHAnsi"/>
        </w:rPr>
      </w:pPr>
      <w:r w:rsidRPr="0023564F">
        <w:rPr>
          <w:rFonts w:asciiTheme="minorHAnsi" w:hAnsiTheme="minorHAnsi" w:cstheme="minorHAnsi"/>
        </w:rPr>
        <w:t>In the table immediately below, the “</w:t>
      </w:r>
      <w:r w:rsidRPr="00071E3D">
        <w:rPr>
          <w:rFonts w:asciiTheme="minorHAnsi" w:hAnsiTheme="minorHAnsi" w:cstheme="minorHAnsi"/>
          <w:i/>
        </w:rPr>
        <w:t xml:space="preserve">backsliders,” those who switched from responding in a manner consistent with the Search Institute Asset 36 to a “not consistent” </w:t>
      </w:r>
      <w:proofErr w:type="gramStart"/>
      <w:r w:rsidRPr="00071E3D">
        <w:rPr>
          <w:rFonts w:asciiTheme="minorHAnsi" w:hAnsiTheme="minorHAnsi" w:cstheme="minorHAnsi"/>
          <w:i/>
        </w:rPr>
        <w:t>response</w:t>
      </w:r>
      <w:r w:rsidRPr="0023564F">
        <w:rPr>
          <w:rFonts w:asciiTheme="minorHAnsi" w:hAnsiTheme="minorHAnsi" w:cstheme="minorHAnsi"/>
        </w:rPr>
        <w:t>,</w:t>
      </w:r>
      <w:proofErr w:type="gramEnd"/>
      <w:r w:rsidRPr="0023564F">
        <w:rPr>
          <w:rFonts w:asciiTheme="minorHAnsi" w:hAnsiTheme="minorHAnsi" w:cstheme="minorHAnsi"/>
        </w:rPr>
        <w:t xml:space="preserve"> are shown. </w:t>
      </w:r>
    </w:p>
    <w:p w:rsidR="00165316" w:rsidRPr="0023564F" w:rsidRDefault="00165316" w:rsidP="004D41E5">
      <w:pPr>
        <w:rPr>
          <w:rFonts w:asciiTheme="minorHAnsi" w:hAnsiTheme="minorHAnsi" w:cstheme="minorHAnsi"/>
        </w:rPr>
      </w:pPr>
    </w:p>
    <w:p w:rsidR="0055654F" w:rsidRDefault="00901EC6" w:rsidP="0055654F">
      <w:pPr>
        <w:rPr>
          <w:rFonts w:asciiTheme="minorHAnsi" w:hAnsiTheme="minorHAnsi" w:cstheme="minorHAnsi"/>
        </w:rPr>
      </w:pPr>
      <w:r w:rsidRPr="00901EC6">
        <w:rPr>
          <w:rFonts w:asciiTheme="minorHAnsi" w:hAnsiTheme="minorHAnsi" w:cstheme="minorHAnsi"/>
          <w:b/>
        </w:rPr>
        <w:t xml:space="preserve">Table 5: </w:t>
      </w:r>
      <w:r w:rsidR="00165316" w:rsidRPr="00901EC6">
        <w:rPr>
          <w:rFonts w:asciiTheme="minorHAnsi" w:hAnsiTheme="minorHAnsi" w:cstheme="minorHAnsi"/>
        </w:rPr>
        <w:t>“Backsliders”—baseline to end of program</w:t>
      </w:r>
      <w:r w:rsidR="0055654F">
        <w:rPr>
          <w:rFonts w:asciiTheme="minorHAnsi" w:hAnsiTheme="minorHAnsi" w:cstheme="minorHAnsi"/>
        </w:rPr>
        <w:t xml:space="preserve"> </w:t>
      </w:r>
      <w:r w:rsidR="0055654F">
        <w:rPr>
          <w:rFonts w:asciiTheme="minorHAnsi" w:hAnsiTheme="minorHAnsi" w:cstheme="minorHAnsi"/>
        </w:rPr>
        <w:t>(n=73; intermediate school students with three points of observation)</w:t>
      </w:r>
    </w:p>
    <w:p w:rsidR="0055654F" w:rsidRPr="0023564F" w:rsidRDefault="0055654F" w:rsidP="0055654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165316" w:rsidRPr="0023564F" w:rsidTr="0055654F"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Grade</w:t>
            </w: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5</w:t>
            </w:r>
            <w:r w:rsidRPr="0023564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23564F">
              <w:rPr>
                <w:rFonts w:asciiTheme="minorHAnsi" w:hAnsiTheme="minorHAnsi" w:cstheme="minorHAnsi"/>
                <w:b/>
              </w:rPr>
              <w:t xml:space="preserve"> graders</w:t>
            </w: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6</w:t>
            </w:r>
            <w:r w:rsidRPr="0023564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23564F">
              <w:rPr>
                <w:rFonts w:asciiTheme="minorHAnsi" w:hAnsiTheme="minorHAnsi" w:cstheme="minorHAnsi"/>
                <w:b/>
              </w:rPr>
              <w:t xml:space="preserve"> graders</w:t>
            </w:r>
          </w:p>
        </w:tc>
      </w:tr>
      <w:tr w:rsidR="00165316" w:rsidRPr="0023564F" w:rsidTr="0055654F"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12%</w:t>
            </w: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13%</w:t>
            </w:r>
          </w:p>
        </w:tc>
      </w:tr>
      <w:tr w:rsidR="00165316" w:rsidRPr="0023564F" w:rsidTr="0055654F"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Girls</w:t>
            </w: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3564F">
              <w:rPr>
                <w:rFonts w:asciiTheme="minorHAnsi" w:hAnsiTheme="minorHAnsi" w:cstheme="minorHAnsi"/>
                <w:b/>
              </w:rPr>
              <w:t>B</w:t>
            </w:r>
            <w:r w:rsidR="0055654F">
              <w:rPr>
                <w:rFonts w:asciiTheme="minorHAnsi" w:hAnsiTheme="minorHAnsi" w:cstheme="minorHAnsi"/>
                <w:b/>
              </w:rPr>
              <w:t>oys</w:t>
            </w:r>
          </w:p>
        </w:tc>
      </w:tr>
      <w:tr w:rsidR="00165316" w:rsidRPr="0023564F" w:rsidTr="0055654F"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17%</w:t>
            </w:r>
          </w:p>
        </w:tc>
        <w:tc>
          <w:tcPr>
            <w:tcW w:w="2712" w:type="dxa"/>
          </w:tcPr>
          <w:p w:rsidR="00165316" w:rsidRPr="0023564F" w:rsidRDefault="00165316" w:rsidP="002703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564F">
              <w:rPr>
                <w:rFonts w:asciiTheme="minorHAnsi" w:hAnsiTheme="minorHAnsi" w:cstheme="minorHAnsi"/>
              </w:rPr>
              <w:t>6%</w:t>
            </w:r>
          </w:p>
        </w:tc>
      </w:tr>
    </w:tbl>
    <w:p w:rsidR="00165316" w:rsidRPr="0023564F" w:rsidRDefault="00165316" w:rsidP="00165316">
      <w:pPr>
        <w:pStyle w:val="ListParagraph"/>
        <w:rPr>
          <w:rFonts w:asciiTheme="minorHAnsi" w:hAnsiTheme="minorHAnsi" w:cstheme="minorHAnsi"/>
        </w:rPr>
      </w:pPr>
    </w:p>
    <w:p w:rsidR="00165316" w:rsidRPr="00071E3D" w:rsidRDefault="00165316" w:rsidP="00071E3D">
      <w:pPr>
        <w:rPr>
          <w:rFonts w:asciiTheme="minorHAnsi" w:hAnsiTheme="minorHAnsi" w:cstheme="minorHAnsi"/>
        </w:rPr>
      </w:pPr>
      <w:r w:rsidRPr="00071E3D">
        <w:rPr>
          <w:rFonts w:asciiTheme="minorHAnsi" w:hAnsiTheme="minorHAnsi" w:cstheme="minorHAnsi"/>
        </w:rPr>
        <w:t>As seen immediately above, girls were more likely to be “backsliders” than were boys</w:t>
      </w:r>
      <w:r w:rsidR="00901EC6" w:rsidRPr="00071E3D">
        <w:rPr>
          <w:rFonts w:asciiTheme="minorHAnsi" w:hAnsiTheme="minorHAnsi" w:cstheme="minorHAnsi"/>
        </w:rPr>
        <w:t xml:space="preserve"> over the course of the program while there were no differences by grade level. </w:t>
      </w:r>
    </w:p>
    <w:p w:rsidR="005F1FDB" w:rsidRPr="0023564F" w:rsidRDefault="005F1FDB" w:rsidP="00F41D48">
      <w:pPr>
        <w:rPr>
          <w:rFonts w:asciiTheme="minorHAnsi" w:hAnsiTheme="minorHAnsi" w:cstheme="minorHAnsi"/>
        </w:rPr>
      </w:pPr>
      <w:bookmarkStart w:id="0" w:name="_GoBack"/>
      <w:bookmarkEnd w:id="0"/>
    </w:p>
    <w:p w:rsidR="00165316" w:rsidRPr="0023564F" w:rsidRDefault="00165316" w:rsidP="00F41D48">
      <w:pPr>
        <w:rPr>
          <w:rFonts w:asciiTheme="minorHAnsi" w:hAnsiTheme="minorHAnsi" w:cstheme="minorHAnsi"/>
        </w:rPr>
      </w:pPr>
      <w:proofErr w:type="gramStart"/>
      <w:r w:rsidRPr="00901EC6">
        <w:rPr>
          <w:rFonts w:asciiTheme="minorHAnsi" w:hAnsiTheme="minorHAnsi" w:cstheme="minorHAnsi"/>
          <w:b/>
          <w:u w:val="single"/>
        </w:rPr>
        <w:t>Program implications</w:t>
      </w:r>
      <w:r w:rsidRPr="0023564F">
        <w:rPr>
          <w:rFonts w:asciiTheme="minorHAnsi" w:hAnsiTheme="minorHAnsi" w:cstheme="minorHAnsi"/>
        </w:rPr>
        <w:t>.</w:t>
      </w:r>
      <w:proofErr w:type="gramEnd"/>
      <w:r w:rsidRPr="0023564F">
        <w:rPr>
          <w:rFonts w:asciiTheme="minorHAnsi" w:hAnsiTheme="minorHAnsi" w:cstheme="minorHAnsi"/>
        </w:rPr>
        <w:t xml:space="preserve">  The </w:t>
      </w:r>
      <w:r w:rsidR="000161A3">
        <w:rPr>
          <w:rFonts w:asciiTheme="minorHAnsi" w:hAnsiTheme="minorHAnsi" w:cstheme="minorHAnsi"/>
        </w:rPr>
        <w:t xml:space="preserve">challenge for the </w:t>
      </w:r>
      <w:r w:rsidRPr="0023564F">
        <w:rPr>
          <w:rFonts w:asciiTheme="minorHAnsi" w:hAnsiTheme="minorHAnsi" w:cstheme="minorHAnsi"/>
        </w:rPr>
        <w:t xml:space="preserve">program </w:t>
      </w:r>
      <w:r w:rsidR="000161A3">
        <w:rPr>
          <w:rFonts w:asciiTheme="minorHAnsi" w:hAnsiTheme="minorHAnsi" w:cstheme="minorHAnsi"/>
        </w:rPr>
        <w:t>is</w:t>
      </w:r>
      <w:r w:rsidRPr="0023564F">
        <w:rPr>
          <w:rFonts w:asciiTheme="minorHAnsi" w:hAnsiTheme="minorHAnsi" w:cstheme="minorHAnsi"/>
        </w:rPr>
        <w:t xml:space="preserve"> </w:t>
      </w:r>
      <w:r w:rsidR="00901EC6">
        <w:rPr>
          <w:rFonts w:asciiTheme="minorHAnsi" w:hAnsiTheme="minorHAnsi" w:cstheme="minorHAnsi"/>
        </w:rPr>
        <w:t>to find ways to</w:t>
      </w:r>
      <w:r w:rsidRPr="0023564F">
        <w:rPr>
          <w:rFonts w:asciiTheme="minorHAnsi" w:hAnsiTheme="minorHAnsi" w:cstheme="minorHAnsi"/>
        </w:rPr>
        <w:t xml:space="preserve"> motivate boys</w:t>
      </w:r>
      <w:r w:rsidR="000161A3">
        <w:rPr>
          <w:rFonts w:asciiTheme="minorHAnsi" w:hAnsiTheme="minorHAnsi" w:cstheme="minorHAnsi"/>
        </w:rPr>
        <w:t xml:space="preserve"> better</w:t>
      </w:r>
      <w:r w:rsidRPr="0023564F">
        <w:rPr>
          <w:rFonts w:asciiTheme="minorHAnsi" w:hAnsiTheme="minorHAnsi" w:cstheme="minorHAnsi"/>
        </w:rPr>
        <w:t xml:space="preserve"> to </w:t>
      </w:r>
      <w:r w:rsidRPr="0023564F">
        <w:rPr>
          <w:rFonts w:asciiTheme="minorHAnsi" w:hAnsiTheme="minorHAnsi" w:cstheme="minorHAnsi"/>
          <w:i/>
        </w:rPr>
        <w:t xml:space="preserve">adopt </w:t>
      </w:r>
      <w:r w:rsidRPr="0023564F">
        <w:rPr>
          <w:rFonts w:asciiTheme="minorHAnsi" w:hAnsiTheme="minorHAnsi" w:cstheme="minorHAnsi"/>
        </w:rPr>
        <w:t>peaceful conflict resolutions methods</w:t>
      </w:r>
      <w:r w:rsidR="0023564F" w:rsidRPr="0023564F">
        <w:rPr>
          <w:rFonts w:asciiTheme="minorHAnsi" w:hAnsiTheme="minorHAnsi" w:cstheme="minorHAnsi"/>
        </w:rPr>
        <w:t xml:space="preserve"> and to </w:t>
      </w:r>
      <w:r w:rsidR="0023564F" w:rsidRPr="0023564F">
        <w:rPr>
          <w:rFonts w:asciiTheme="minorHAnsi" w:hAnsiTheme="minorHAnsi" w:cstheme="minorHAnsi"/>
          <w:i/>
        </w:rPr>
        <w:t xml:space="preserve">reinforce </w:t>
      </w:r>
      <w:r w:rsidR="0023564F" w:rsidRPr="0023564F">
        <w:rPr>
          <w:rFonts w:asciiTheme="minorHAnsi" w:hAnsiTheme="minorHAnsi" w:cstheme="minorHAnsi"/>
        </w:rPr>
        <w:t xml:space="preserve">girls’ initial feelings </w:t>
      </w:r>
      <w:r w:rsidR="000161A3">
        <w:rPr>
          <w:rFonts w:asciiTheme="minorHAnsi" w:hAnsiTheme="minorHAnsi" w:cstheme="minorHAnsi"/>
        </w:rPr>
        <w:t xml:space="preserve">better </w:t>
      </w:r>
      <w:r w:rsidR="0023564F" w:rsidRPr="0023564F">
        <w:rPr>
          <w:rFonts w:asciiTheme="minorHAnsi" w:hAnsiTheme="minorHAnsi" w:cstheme="minorHAnsi"/>
        </w:rPr>
        <w:t>regarding</w:t>
      </w:r>
      <w:r w:rsidRPr="0023564F">
        <w:rPr>
          <w:rFonts w:asciiTheme="minorHAnsi" w:hAnsiTheme="minorHAnsi" w:cstheme="minorHAnsi"/>
        </w:rPr>
        <w:t xml:space="preserve"> </w:t>
      </w:r>
      <w:r w:rsidR="0023564F" w:rsidRPr="0023564F">
        <w:rPr>
          <w:rFonts w:asciiTheme="minorHAnsi" w:hAnsiTheme="minorHAnsi" w:cstheme="minorHAnsi"/>
        </w:rPr>
        <w:t xml:space="preserve">peaceful conflict resolution. </w:t>
      </w:r>
    </w:p>
    <w:p w:rsidR="0023564F" w:rsidRPr="0023564F" w:rsidRDefault="0023564F" w:rsidP="00F41D48">
      <w:pPr>
        <w:rPr>
          <w:rFonts w:asciiTheme="minorHAnsi" w:hAnsiTheme="minorHAnsi" w:cstheme="minorHAnsi"/>
        </w:rPr>
      </w:pPr>
    </w:p>
    <w:p w:rsidR="00F378AF" w:rsidRPr="00901EC6" w:rsidRDefault="00F378AF" w:rsidP="00F378AF">
      <w:pPr>
        <w:rPr>
          <w:rFonts w:asciiTheme="minorHAnsi" w:hAnsiTheme="minorHAnsi" w:cstheme="minorHAnsi"/>
          <w:b/>
          <w:u w:val="single"/>
        </w:rPr>
      </w:pPr>
      <w:r w:rsidRPr="00901EC6">
        <w:rPr>
          <w:rFonts w:asciiTheme="minorHAnsi" w:hAnsiTheme="minorHAnsi" w:cstheme="minorHAnsi"/>
          <w:b/>
          <w:u w:val="single"/>
        </w:rPr>
        <w:t xml:space="preserve">Helpful resources for dealing with randomness in measurement and over time alterations in program impacts -- </w:t>
      </w:r>
    </w:p>
    <w:p w:rsidR="00F378AF" w:rsidRPr="0023564F" w:rsidRDefault="00F378AF" w:rsidP="00F378AF">
      <w:pPr>
        <w:rPr>
          <w:rFonts w:asciiTheme="minorHAnsi" w:hAnsiTheme="minorHAnsi" w:cstheme="minorHAnsi"/>
        </w:rPr>
      </w:pPr>
      <w:r w:rsidRPr="0023564F">
        <w:rPr>
          <w:rFonts w:asciiTheme="minorHAnsi" w:hAnsiTheme="minorHAnsi" w:cstheme="minorHAnsi"/>
        </w:rPr>
        <w:t xml:space="preserve">Steven </w:t>
      </w:r>
      <w:proofErr w:type="spellStart"/>
      <w:r w:rsidRPr="0023564F">
        <w:rPr>
          <w:rFonts w:asciiTheme="minorHAnsi" w:hAnsiTheme="minorHAnsi" w:cstheme="minorHAnsi"/>
        </w:rPr>
        <w:t>Finkel</w:t>
      </w:r>
      <w:proofErr w:type="spellEnd"/>
      <w:r w:rsidRPr="0023564F">
        <w:rPr>
          <w:rFonts w:asciiTheme="minorHAnsi" w:hAnsiTheme="minorHAnsi" w:cstheme="minorHAnsi"/>
        </w:rPr>
        <w:t xml:space="preserve">, </w:t>
      </w:r>
      <w:r w:rsidRPr="0023564F">
        <w:rPr>
          <w:rFonts w:asciiTheme="minorHAnsi" w:hAnsiTheme="minorHAnsi" w:cstheme="minorHAnsi"/>
          <w:i/>
        </w:rPr>
        <w:t>Causal Analysis with Panel Data</w:t>
      </w:r>
      <w:r w:rsidRPr="0023564F">
        <w:rPr>
          <w:rFonts w:asciiTheme="minorHAnsi" w:hAnsiTheme="minorHAnsi" w:cstheme="minorHAnsi"/>
        </w:rPr>
        <w:t>. Thousand Oaks, CA: Sage, 1995.</w:t>
      </w:r>
    </w:p>
    <w:p w:rsidR="00F378AF" w:rsidRPr="0023564F" w:rsidRDefault="00F378AF" w:rsidP="00F378AF">
      <w:pPr>
        <w:rPr>
          <w:rFonts w:asciiTheme="minorHAnsi" w:hAnsiTheme="minorHAnsi" w:cstheme="minorHAnsi"/>
        </w:rPr>
      </w:pPr>
      <w:r w:rsidRPr="0023564F">
        <w:rPr>
          <w:rFonts w:asciiTheme="minorHAnsi" w:hAnsiTheme="minorHAnsi" w:cstheme="minorHAnsi"/>
        </w:rPr>
        <w:t xml:space="preserve">Ross E. </w:t>
      </w:r>
      <w:proofErr w:type="spellStart"/>
      <w:r w:rsidRPr="0023564F">
        <w:rPr>
          <w:rFonts w:asciiTheme="minorHAnsi" w:hAnsiTheme="minorHAnsi" w:cstheme="minorHAnsi"/>
        </w:rPr>
        <w:t>Traub</w:t>
      </w:r>
      <w:proofErr w:type="spellEnd"/>
      <w:r w:rsidRPr="0023564F">
        <w:rPr>
          <w:rFonts w:asciiTheme="minorHAnsi" w:hAnsiTheme="minorHAnsi" w:cstheme="minorHAnsi"/>
        </w:rPr>
        <w:t xml:space="preserve">, </w:t>
      </w:r>
      <w:r w:rsidRPr="0023564F">
        <w:rPr>
          <w:rFonts w:asciiTheme="minorHAnsi" w:hAnsiTheme="minorHAnsi" w:cstheme="minorHAnsi"/>
          <w:i/>
        </w:rPr>
        <w:t>Reliability for the Social Sciences.</w:t>
      </w:r>
      <w:r w:rsidRPr="0023564F">
        <w:rPr>
          <w:rFonts w:asciiTheme="minorHAnsi" w:hAnsiTheme="minorHAnsi" w:cstheme="minorHAnsi"/>
        </w:rPr>
        <w:t xml:space="preserve"> Thousand Oaks, CA: Sage, 1994.</w:t>
      </w:r>
    </w:p>
    <w:p w:rsidR="00F378AF" w:rsidRPr="0023564F" w:rsidRDefault="00F378AF" w:rsidP="00F378AF">
      <w:pPr>
        <w:ind w:left="720" w:hanging="720"/>
        <w:rPr>
          <w:rFonts w:asciiTheme="minorHAnsi" w:hAnsiTheme="minorHAnsi" w:cstheme="minorHAnsi"/>
        </w:rPr>
      </w:pPr>
      <w:r w:rsidRPr="0023564F">
        <w:rPr>
          <w:rFonts w:asciiTheme="minorHAnsi" w:hAnsiTheme="minorHAnsi" w:cstheme="minorHAnsi"/>
        </w:rPr>
        <w:t xml:space="preserve">Lee M. Wiggins, </w:t>
      </w:r>
      <w:r w:rsidRPr="0023564F">
        <w:rPr>
          <w:rFonts w:asciiTheme="minorHAnsi" w:hAnsiTheme="minorHAnsi" w:cstheme="minorHAnsi"/>
          <w:i/>
        </w:rPr>
        <w:t>Panel Analysis: Latent Probability Models for Attitude and Behavior Processes.</w:t>
      </w:r>
      <w:r w:rsidRPr="0023564F">
        <w:rPr>
          <w:rFonts w:asciiTheme="minorHAnsi" w:hAnsiTheme="minorHAnsi" w:cstheme="minorHAnsi"/>
        </w:rPr>
        <w:t xml:space="preserve"> San Francisco: </w:t>
      </w:r>
      <w:proofErr w:type="spellStart"/>
      <w:r w:rsidRPr="0023564F">
        <w:rPr>
          <w:rFonts w:asciiTheme="minorHAnsi" w:hAnsiTheme="minorHAnsi" w:cstheme="minorHAnsi"/>
        </w:rPr>
        <w:t>Jossey</w:t>
      </w:r>
      <w:proofErr w:type="spellEnd"/>
      <w:r w:rsidRPr="0023564F">
        <w:rPr>
          <w:rFonts w:asciiTheme="minorHAnsi" w:hAnsiTheme="minorHAnsi" w:cstheme="minorHAnsi"/>
        </w:rPr>
        <w:t>-Bass, 1973.</w:t>
      </w:r>
    </w:p>
    <w:sectPr w:rsidR="00F378AF" w:rsidRPr="00235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48"/>
    <w:rsid w:val="000161A3"/>
    <w:rsid w:val="00071E3D"/>
    <w:rsid w:val="000F350E"/>
    <w:rsid w:val="00165316"/>
    <w:rsid w:val="0023564F"/>
    <w:rsid w:val="00236D0C"/>
    <w:rsid w:val="00351D41"/>
    <w:rsid w:val="003825BE"/>
    <w:rsid w:val="00385BFD"/>
    <w:rsid w:val="004814A7"/>
    <w:rsid w:val="004D41E5"/>
    <w:rsid w:val="004D7316"/>
    <w:rsid w:val="004E44B1"/>
    <w:rsid w:val="0055654F"/>
    <w:rsid w:val="005F1FDB"/>
    <w:rsid w:val="0070094D"/>
    <w:rsid w:val="00901EC6"/>
    <w:rsid w:val="00F378AF"/>
    <w:rsid w:val="00F4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D48"/>
    <w:rPr>
      <w:color w:val="0000FF"/>
      <w:u w:val="single"/>
    </w:rPr>
  </w:style>
  <w:style w:type="table" w:styleId="TableGrid">
    <w:name w:val="Table Grid"/>
    <w:basedOn w:val="TableNormal"/>
    <w:rsid w:val="005F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D48"/>
    <w:rPr>
      <w:color w:val="0000FF"/>
      <w:u w:val="single"/>
    </w:rPr>
  </w:style>
  <w:style w:type="table" w:styleId="TableGrid">
    <w:name w:val="Table Grid"/>
    <w:basedOn w:val="TableNormal"/>
    <w:rsid w:val="005F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Durand</dc:creator>
  <cp:keywords/>
  <dc:description/>
  <cp:lastModifiedBy>Roger Durand</cp:lastModifiedBy>
  <cp:revision>7</cp:revision>
  <dcterms:created xsi:type="dcterms:W3CDTF">2011-09-08T22:06:00Z</dcterms:created>
  <dcterms:modified xsi:type="dcterms:W3CDTF">2011-09-12T15:34:00Z</dcterms:modified>
</cp:coreProperties>
</file>