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7A254" w14:textId="77777777" w:rsidR="007440A5" w:rsidRPr="00DC2CC4" w:rsidRDefault="007440A5" w:rsidP="007440A5">
      <w:pPr>
        <w:rPr>
          <w:rFonts w:ascii="Calibri" w:hAnsi="Calibri"/>
          <w:b/>
          <w:sz w:val="22"/>
        </w:rPr>
      </w:pPr>
      <w:r w:rsidRPr="00DC2CC4">
        <w:rPr>
          <w:rFonts w:ascii="Calibri" w:hAnsi="Calibri"/>
          <w:b/>
          <w:sz w:val="22"/>
        </w:rPr>
        <w:t>When research and evaluati</w:t>
      </w:r>
      <w:r w:rsidR="00DB13B9" w:rsidRPr="00DC2CC4">
        <w:rPr>
          <w:rFonts w:ascii="Calibri" w:hAnsi="Calibri"/>
          <w:b/>
          <w:sz w:val="22"/>
        </w:rPr>
        <w:t>on collide (…we mean collaborate)</w:t>
      </w:r>
    </w:p>
    <w:p w14:paraId="5944FC9B" w14:textId="608171A2" w:rsidR="007440A5" w:rsidRPr="00DC2CC4" w:rsidRDefault="005A0D7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2015</w:t>
      </w:r>
      <w:r w:rsidR="00CF262C">
        <w:rPr>
          <w:rFonts w:ascii="Calibri" w:hAnsi="Calibri"/>
          <w:sz w:val="22"/>
        </w:rPr>
        <w:t xml:space="preserve"> American Evaluation Associate Conference</w:t>
      </w:r>
      <w:r w:rsidR="00C25FA7">
        <w:rPr>
          <w:rFonts w:ascii="Calibri" w:hAnsi="Calibri"/>
          <w:sz w:val="22"/>
        </w:rPr>
        <w:t xml:space="preserve">   </w:t>
      </w:r>
      <w:r>
        <w:rPr>
          <w:rFonts w:ascii="Calibri" w:hAnsi="Calibri"/>
          <w:sz w:val="22"/>
        </w:rPr>
        <w:t>November 12, 2015</w:t>
      </w:r>
    </w:p>
    <w:p w14:paraId="469BAB3D" w14:textId="77777777" w:rsidR="007440A5" w:rsidRPr="00DC2CC4" w:rsidRDefault="007440A5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38"/>
        <w:gridCol w:w="3780"/>
        <w:gridCol w:w="4230"/>
      </w:tblGrid>
      <w:tr w:rsidR="007440A5" w:rsidRPr="00CA0296" w14:paraId="5F8DDA55" w14:textId="77777777" w:rsidTr="00C25FA7">
        <w:trPr>
          <w:trHeight w:val="359"/>
        </w:trPr>
        <w:tc>
          <w:tcPr>
            <w:tcW w:w="2538" w:type="dxa"/>
            <w:shd w:val="clear" w:color="auto" w:fill="BFBFBF" w:themeFill="background1" w:themeFillShade="BF"/>
            <w:vAlign w:val="center"/>
          </w:tcPr>
          <w:p w14:paraId="5D051056" w14:textId="77777777" w:rsidR="007440A5" w:rsidRPr="00CA0296" w:rsidRDefault="007440A5" w:rsidP="00BE4B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CA0296">
              <w:rPr>
                <w:rFonts w:ascii="Calibri" w:hAnsi="Calibri"/>
                <w:b/>
                <w:sz w:val="20"/>
              </w:rPr>
              <w:t>Issues</w:t>
            </w:r>
            <w:r w:rsidR="003536A4" w:rsidRPr="00CA0296">
              <w:rPr>
                <w:rFonts w:ascii="Calibri" w:hAnsi="Calibri"/>
                <w:b/>
                <w:sz w:val="20"/>
              </w:rPr>
              <w:t xml:space="preserve"> that have come up</w:t>
            </w:r>
            <w:r w:rsidR="00DA0A2B" w:rsidRPr="00CA0296">
              <w:rPr>
                <w:rFonts w:ascii="Calibri" w:hAnsi="Calibri"/>
                <w:b/>
                <w:sz w:val="20"/>
              </w:rPr>
              <w:t xml:space="preserve"> in our collaboration</w:t>
            </w: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26509088" w14:textId="77777777" w:rsidR="007440A5" w:rsidRPr="00CA0296" w:rsidRDefault="00DB13B9" w:rsidP="00BE4B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CA0296">
              <w:rPr>
                <w:rFonts w:ascii="Calibri" w:hAnsi="Calibri"/>
                <w:b/>
                <w:sz w:val="20"/>
              </w:rPr>
              <w:t>What we did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center"/>
          </w:tcPr>
          <w:p w14:paraId="7BC56A59" w14:textId="77777777" w:rsidR="007440A5" w:rsidRPr="00CA0296" w:rsidRDefault="00DB13B9" w:rsidP="00DA0A2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A0296">
              <w:rPr>
                <w:rFonts w:ascii="Calibri" w:hAnsi="Calibri"/>
                <w:b/>
                <w:sz w:val="20"/>
              </w:rPr>
              <w:t xml:space="preserve">How </w:t>
            </w:r>
            <w:r w:rsidR="00DA0A2B" w:rsidRPr="00CA0296">
              <w:rPr>
                <w:rFonts w:ascii="Calibri" w:hAnsi="Calibri"/>
                <w:b/>
                <w:sz w:val="20"/>
              </w:rPr>
              <w:t>that</w:t>
            </w:r>
            <w:r w:rsidRPr="00CA0296">
              <w:rPr>
                <w:rFonts w:ascii="Calibri" w:hAnsi="Calibri"/>
                <w:b/>
                <w:sz w:val="20"/>
              </w:rPr>
              <w:t xml:space="preserve"> worked</w:t>
            </w:r>
          </w:p>
        </w:tc>
      </w:tr>
      <w:tr w:rsidR="003536A4" w:rsidRPr="00CA0296" w14:paraId="3E21C43D" w14:textId="77777777" w:rsidTr="00C25FA7">
        <w:tc>
          <w:tcPr>
            <w:tcW w:w="2538" w:type="dxa"/>
          </w:tcPr>
          <w:p w14:paraId="5FFDCE69" w14:textId="77777777" w:rsidR="003536A4" w:rsidRPr="00CA0296" w:rsidRDefault="001A754D" w:rsidP="001A754D">
            <w:pPr>
              <w:rPr>
                <w:rFonts w:ascii="Calibri" w:hAnsi="Calibri"/>
                <w:sz w:val="20"/>
              </w:rPr>
            </w:pPr>
            <w:r w:rsidRPr="00CA0296">
              <w:rPr>
                <w:rFonts w:ascii="Calibri" w:hAnsi="Calibri"/>
                <w:sz w:val="20"/>
              </w:rPr>
              <w:t>Before the project was funded, funder requested that the research questions be revised</w:t>
            </w:r>
            <w:r w:rsidR="0038521B">
              <w:rPr>
                <w:rFonts w:ascii="Calibri" w:hAnsi="Calibri"/>
                <w:sz w:val="20"/>
              </w:rPr>
              <w:t xml:space="preserve"> to fit program officer interests</w:t>
            </w:r>
            <w:r w:rsidRPr="00CA0296">
              <w:rPr>
                <w:rFonts w:ascii="Calibri" w:hAnsi="Calibri"/>
                <w:sz w:val="20"/>
              </w:rPr>
              <w:t>; new research questions had greater potential overlap with the evaluation questions</w:t>
            </w:r>
            <w:r w:rsidR="003536A4" w:rsidRPr="00CA029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780" w:type="dxa"/>
          </w:tcPr>
          <w:p w14:paraId="26E482B0" w14:textId="77777777" w:rsidR="001A754D" w:rsidRPr="00CA0296" w:rsidRDefault="001A754D" w:rsidP="007440A5">
            <w:pPr>
              <w:rPr>
                <w:rFonts w:ascii="Calibri" w:hAnsi="Calibri"/>
                <w:sz w:val="20"/>
              </w:rPr>
            </w:pPr>
            <w:r w:rsidRPr="00CA0296">
              <w:rPr>
                <w:rFonts w:ascii="Calibri" w:hAnsi="Calibri"/>
                <w:sz w:val="20"/>
              </w:rPr>
              <w:t>Changed research questions to meet funders’ expectations (didn’t have much leverage!)</w:t>
            </w:r>
          </w:p>
          <w:p w14:paraId="27766D09" w14:textId="77777777" w:rsidR="001A754D" w:rsidRPr="00CA0296" w:rsidRDefault="001A754D" w:rsidP="007440A5">
            <w:pPr>
              <w:rPr>
                <w:rFonts w:ascii="Calibri" w:hAnsi="Calibri"/>
                <w:sz w:val="20"/>
              </w:rPr>
            </w:pPr>
          </w:p>
          <w:p w14:paraId="0541B69C" w14:textId="77777777" w:rsidR="003536A4" w:rsidRPr="00CA0296" w:rsidRDefault="001A754D" w:rsidP="001A754D">
            <w:pPr>
              <w:rPr>
                <w:rFonts w:ascii="Calibri" w:hAnsi="Calibri"/>
                <w:sz w:val="20"/>
              </w:rPr>
            </w:pPr>
            <w:r w:rsidRPr="00CA0296">
              <w:rPr>
                <w:rFonts w:ascii="Calibri" w:hAnsi="Calibri"/>
                <w:sz w:val="20"/>
              </w:rPr>
              <w:t>Research and evaluation teams (and clients) had multiple conversations to discuss questions and methods</w:t>
            </w:r>
          </w:p>
        </w:tc>
        <w:tc>
          <w:tcPr>
            <w:tcW w:w="4230" w:type="dxa"/>
          </w:tcPr>
          <w:p w14:paraId="450724F6" w14:textId="4ECD41D4" w:rsidR="003536A4" w:rsidRPr="00CA0296" w:rsidRDefault="005A0D78" w:rsidP="00BB6CA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Decided </w:t>
            </w:r>
            <w:r w:rsidR="0038521B">
              <w:rPr>
                <w:rFonts w:ascii="Calibri" w:hAnsi="Calibri"/>
                <w:sz w:val="20"/>
              </w:rPr>
              <w:t>evaluation and research would take different approaches to the study of scale-up</w:t>
            </w:r>
            <w:r w:rsidR="0038521B" w:rsidRPr="00BB6CAA">
              <w:rPr>
                <w:rFonts w:ascii="Calibri" w:hAnsi="Calibri"/>
                <w:sz w:val="20"/>
              </w:rPr>
              <w:t>, with research delving deep into less understood areas of the program and evaluation focusing on outcomes and developmental methods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7440A5" w:rsidRPr="00CA0296" w14:paraId="035F4AA8" w14:textId="77777777" w:rsidTr="00C25FA7">
        <w:tc>
          <w:tcPr>
            <w:tcW w:w="2538" w:type="dxa"/>
          </w:tcPr>
          <w:p w14:paraId="30722DF4" w14:textId="4BC42FC3" w:rsidR="007440A5" w:rsidRPr="00CA0296" w:rsidRDefault="00DB13B9" w:rsidP="00DB13B9">
            <w:pPr>
              <w:rPr>
                <w:rFonts w:ascii="Calibri" w:hAnsi="Calibri"/>
                <w:sz w:val="20"/>
              </w:rPr>
            </w:pPr>
            <w:r w:rsidRPr="00CA0296">
              <w:rPr>
                <w:rFonts w:ascii="Calibri" w:hAnsi="Calibri"/>
                <w:sz w:val="20"/>
              </w:rPr>
              <w:t xml:space="preserve">Evaluation team and researcher each had </w:t>
            </w:r>
            <w:r w:rsidR="001A754D" w:rsidRPr="00CA0296">
              <w:rPr>
                <w:rFonts w:ascii="Calibri" w:hAnsi="Calibri"/>
                <w:sz w:val="20"/>
              </w:rPr>
              <w:t xml:space="preserve">an </w:t>
            </w:r>
            <w:r w:rsidRPr="00CA0296">
              <w:rPr>
                <w:rFonts w:ascii="Calibri" w:hAnsi="Calibri"/>
                <w:sz w:val="20"/>
              </w:rPr>
              <w:t>existing</w:t>
            </w:r>
            <w:r w:rsidR="007440A5" w:rsidRPr="00CA0296">
              <w:rPr>
                <w:rFonts w:ascii="Calibri" w:hAnsi="Calibri"/>
                <w:sz w:val="20"/>
              </w:rPr>
              <w:t xml:space="preserve"> </w:t>
            </w:r>
            <w:r w:rsidR="005A0D78">
              <w:rPr>
                <w:rFonts w:ascii="Calibri" w:hAnsi="Calibri"/>
                <w:sz w:val="20"/>
              </w:rPr>
              <w:t xml:space="preserve">professional </w:t>
            </w:r>
            <w:r w:rsidRPr="00CA0296">
              <w:rPr>
                <w:rFonts w:ascii="Calibri" w:hAnsi="Calibri"/>
                <w:sz w:val="20"/>
              </w:rPr>
              <w:t>relationship</w:t>
            </w:r>
            <w:r w:rsidR="007440A5" w:rsidRPr="00CA0296">
              <w:rPr>
                <w:rFonts w:ascii="Calibri" w:hAnsi="Calibri"/>
                <w:sz w:val="20"/>
              </w:rPr>
              <w:t xml:space="preserve"> with clients</w:t>
            </w:r>
            <w:r w:rsidR="001A754D" w:rsidRPr="00CA0296">
              <w:rPr>
                <w:rFonts w:ascii="Calibri" w:hAnsi="Calibri"/>
                <w:sz w:val="20"/>
              </w:rPr>
              <w:t xml:space="preserve"> (but not with each other)</w:t>
            </w:r>
          </w:p>
        </w:tc>
        <w:tc>
          <w:tcPr>
            <w:tcW w:w="3780" w:type="dxa"/>
          </w:tcPr>
          <w:p w14:paraId="2759C2A8" w14:textId="77777777" w:rsidR="007440A5" w:rsidRPr="00CA0296" w:rsidRDefault="00B41209" w:rsidP="00B4120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Had a two-day in-person planning meeting shortly after the project began: first day was just the research and evaluation teams; the second day included the clients</w:t>
            </w:r>
          </w:p>
        </w:tc>
        <w:tc>
          <w:tcPr>
            <w:tcW w:w="4230" w:type="dxa"/>
          </w:tcPr>
          <w:p w14:paraId="398D78C7" w14:textId="77777777" w:rsidR="007440A5" w:rsidRPr="00CA0296" w:rsidRDefault="00B4120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Successful. There’s nothing like face-to-face communication, if it’s feasible.</w:t>
            </w:r>
          </w:p>
        </w:tc>
      </w:tr>
      <w:tr w:rsidR="007440A5" w:rsidRPr="00CA0296" w14:paraId="0C1B0682" w14:textId="77777777" w:rsidTr="00C25FA7">
        <w:tc>
          <w:tcPr>
            <w:tcW w:w="2538" w:type="dxa"/>
          </w:tcPr>
          <w:p w14:paraId="79BFB2C5" w14:textId="110F945F" w:rsidR="007440A5" w:rsidRPr="00CA0296" w:rsidRDefault="005A0D7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Sharing data</w:t>
            </w:r>
          </w:p>
        </w:tc>
        <w:tc>
          <w:tcPr>
            <w:tcW w:w="3780" w:type="dxa"/>
          </w:tcPr>
          <w:p w14:paraId="4A3A220E" w14:textId="01715AAA" w:rsidR="007440A5" w:rsidRPr="00CA0296" w:rsidRDefault="003B2C94" w:rsidP="007440A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Use </w:t>
            </w:r>
            <w:r w:rsidR="007440A5" w:rsidRPr="00CA0296">
              <w:rPr>
                <w:rFonts w:ascii="Calibri" w:hAnsi="Calibri"/>
                <w:sz w:val="20"/>
              </w:rPr>
              <w:t>OneNote software as a repository for all of our documents (including meeting notes, drafts and final versions</w:t>
            </w:r>
            <w:r w:rsidR="00C25FA7">
              <w:rPr>
                <w:rFonts w:ascii="Calibri" w:hAnsi="Calibri"/>
                <w:sz w:val="20"/>
              </w:rPr>
              <w:t xml:space="preserve"> of instruments, </w:t>
            </w:r>
            <w:r w:rsidR="007440A5" w:rsidRPr="00CA0296">
              <w:rPr>
                <w:rFonts w:ascii="Calibri" w:hAnsi="Calibri"/>
                <w:sz w:val="20"/>
              </w:rPr>
              <w:t>data</w:t>
            </w:r>
            <w:r w:rsidR="00C25FA7">
              <w:rPr>
                <w:rFonts w:ascii="Calibri" w:hAnsi="Calibri"/>
                <w:sz w:val="20"/>
              </w:rPr>
              <w:t>, and reporting</w:t>
            </w:r>
            <w:r w:rsidR="007440A5" w:rsidRPr="00CA0296">
              <w:rPr>
                <w:rFonts w:ascii="Calibri" w:hAnsi="Calibri"/>
                <w:sz w:val="20"/>
              </w:rPr>
              <w:t>)</w:t>
            </w:r>
          </w:p>
          <w:p w14:paraId="333961E8" w14:textId="77777777" w:rsidR="007440A5" w:rsidRPr="00CA0296" w:rsidRDefault="007440A5" w:rsidP="007440A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30" w:type="dxa"/>
          </w:tcPr>
          <w:p w14:paraId="3B6DCD8F" w14:textId="26598163" w:rsidR="000804C1" w:rsidRPr="00CA0296" w:rsidRDefault="000804C1">
            <w:pPr>
              <w:rPr>
                <w:rFonts w:ascii="Calibri" w:hAnsi="Calibri"/>
                <w:sz w:val="20"/>
              </w:rPr>
            </w:pPr>
            <w:r w:rsidRPr="00CA0296">
              <w:rPr>
                <w:rFonts w:ascii="Calibri" w:hAnsi="Calibri"/>
                <w:sz w:val="20"/>
              </w:rPr>
              <w:t>Has been very useful for the evaluation and research teams</w:t>
            </w:r>
            <w:r w:rsidR="005A0D78">
              <w:rPr>
                <w:rFonts w:ascii="Calibri" w:hAnsi="Calibri"/>
                <w:sz w:val="20"/>
              </w:rPr>
              <w:t>, when technology cooperates</w:t>
            </w:r>
          </w:p>
          <w:p w14:paraId="7E73BD57" w14:textId="77777777" w:rsidR="000804C1" w:rsidRPr="00CA0296" w:rsidRDefault="000804C1">
            <w:pPr>
              <w:rPr>
                <w:rFonts w:ascii="Calibri" w:hAnsi="Calibri"/>
                <w:sz w:val="20"/>
              </w:rPr>
            </w:pPr>
          </w:p>
          <w:p w14:paraId="39339D01" w14:textId="1E22F23D" w:rsidR="007440A5" w:rsidRPr="00CA0296" w:rsidRDefault="00DB13B9" w:rsidP="005A0D78">
            <w:pPr>
              <w:rPr>
                <w:rFonts w:ascii="Calibri" w:hAnsi="Calibri"/>
                <w:sz w:val="20"/>
              </w:rPr>
            </w:pPr>
            <w:r w:rsidRPr="00CA0296">
              <w:rPr>
                <w:rFonts w:ascii="Calibri" w:hAnsi="Calibri"/>
                <w:sz w:val="20"/>
              </w:rPr>
              <w:t>Had planned for clients to also a</w:t>
            </w:r>
            <w:r w:rsidR="005A0D78">
              <w:rPr>
                <w:rFonts w:ascii="Calibri" w:hAnsi="Calibri"/>
                <w:sz w:val="20"/>
              </w:rPr>
              <w:t xml:space="preserve">ccess and use OneNote; instead </w:t>
            </w:r>
            <w:r w:rsidRPr="00CA0296">
              <w:rPr>
                <w:rFonts w:ascii="Calibri" w:hAnsi="Calibri"/>
                <w:sz w:val="20"/>
              </w:rPr>
              <w:t>we</w:t>
            </w:r>
            <w:r w:rsidR="003B2C94">
              <w:rPr>
                <w:rFonts w:ascii="Calibri" w:hAnsi="Calibri"/>
                <w:sz w:val="20"/>
              </w:rPr>
              <w:t xml:space="preserve"> send documents by attachment</w:t>
            </w:r>
            <w:r w:rsidRPr="00CA0296">
              <w:rPr>
                <w:rFonts w:ascii="Calibri" w:hAnsi="Calibri"/>
                <w:sz w:val="20"/>
              </w:rPr>
              <w:t xml:space="preserve"> </w:t>
            </w:r>
            <w:r w:rsidR="003B2C94">
              <w:rPr>
                <w:rFonts w:ascii="Calibri" w:hAnsi="Calibri"/>
                <w:sz w:val="20"/>
              </w:rPr>
              <w:t>or use Google docs</w:t>
            </w:r>
          </w:p>
        </w:tc>
      </w:tr>
      <w:tr w:rsidR="005A0D78" w:rsidRPr="00CA0296" w14:paraId="187A1BFB" w14:textId="77777777" w:rsidTr="00C25FA7">
        <w:tc>
          <w:tcPr>
            <w:tcW w:w="2538" w:type="dxa"/>
          </w:tcPr>
          <w:p w14:paraId="1C69FC25" w14:textId="12210778" w:rsidR="005A0D78" w:rsidRDefault="002829C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analysis</w:t>
            </w:r>
          </w:p>
        </w:tc>
        <w:tc>
          <w:tcPr>
            <w:tcW w:w="3780" w:type="dxa"/>
          </w:tcPr>
          <w:p w14:paraId="28FAE3DF" w14:textId="16F8F20E" w:rsidR="005A0D78" w:rsidRDefault="002829C8" w:rsidP="007440A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Split the data between surveys and interviews; </w:t>
            </w:r>
            <w:r w:rsidR="007C2AD0">
              <w:rPr>
                <w:rFonts w:ascii="Calibri" w:hAnsi="Calibri"/>
                <w:sz w:val="20"/>
              </w:rPr>
              <w:t xml:space="preserve">evaluation took up surveys, and </w:t>
            </w:r>
            <w:r>
              <w:rPr>
                <w:rFonts w:ascii="Calibri" w:hAnsi="Calibri"/>
                <w:sz w:val="20"/>
              </w:rPr>
              <w:t>research took up coding, and shared data files with evaluation.</w:t>
            </w:r>
          </w:p>
        </w:tc>
        <w:tc>
          <w:tcPr>
            <w:tcW w:w="4230" w:type="dxa"/>
          </w:tcPr>
          <w:p w14:paraId="3C049FFA" w14:textId="74AFCE12" w:rsidR="005A0D78" w:rsidRPr="00CA0296" w:rsidRDefault="002829C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Different software made collaborative coding difficult across teams</w:t>
            </w:r>
            <w:r w:rsidR="007C2AD0">
              <w:rPr>
                <w:rFonts w:ascii="Calibri" w:hAnsi="Calibri"/>
                <w:sz w:val="20"/>
              </w:rPr>
              <w:t>—moving towards low cost online data analysis</w:t>
            </w:r>
            <w:r w:rsidR="00C25FA7">
              <w:rPr>
                <w:rFonts w:ascii="Calibri" w:hAnsi="Calibri"/>
                <w:sz w:val="20"/>
              </w:rPr>
              <w:t xml:space="preserve"> system</w:t>
            </w:r>
          </w:p>
        </w:tc>
      </w:tr>
      <w:tr w:rsidR="003536A4" w:rsidRPr="00CA0296" w14:paraId="3B0A28C4" w14:textId="77777777" w:rsidTr="00C25FA7">
        <w:tc>
          <w:tcPr>
            <w:tcW w:w="2538" w:type="dxa"/>
          </w:tcPr>
          <w:p w14:paraId="03D56639" w14:textId="77777777" w:rsidR="003536A4" w:rsidRPr="00CA0296" w:rsidRDefault="003536A4" w:rsidP="003536A4">
            <w:pPr>
              <w:rPr>
                <w:rFonts w:ascii="Calibri" w:hAnsi="Calibri"/>
                <w:sz w:val="20"/>
              </w:rPr>
            </w:pPr>
            <w:r w:rsidRPr="00CA0296">
              <w:rPr>
                <w:rFonts w:ascii="Calibri" w:hAnsi="Calibri"/>
                <w:sz w:val="20"/>
              </w:rPr>
              <w:t xml:space="preserve">How to most efficiently and effectively stay informed and coordinate our efforts </w:t>
            </w:r>
          </w:p>
        </w:tc>
        <w:tc>
          <w:tcPr>
            <w:tcW w:w="3780" w:type="dxa"/>
          </w:tcPr>
          <w:p w14:paraId="56C4E476" w14:textId="481DD633" w:rsidR="00BB6CAA" w:rsidRDefault="00BB6CAA" w:rsidP="007440A5">
            <w:pPr>
              <w:rPr>
                <w:rFonts w:ascii="Calibri" w:hAnsi="Calibri"/>
                <w:sz w:val="20"/>
              </w:rPr>
            </w:pPr>
            <w:r w:rsidRPr="00BB6CAA">
              <w:rPr>
                <w:rFonts w:ascii="Calibri" w:hAnsi="Calibri"/>
                <w:sz w:val="20"/>
              </w:rPr>
              <w:t>Joint calls with research</w:t>
            </w:r>
            <w:r w:rsidR="007C2AD0">
              <w:rPr>
                <w:rFonts w:ascii="Calibri" w:hAnsi="Calibri"/>
                <w:sz w:val="20"/>
              </w:rPr>
              <w:t xml:space="preserve">, evaluation, and client </w:t>
            </w:r>
            <w:r w:rsidRPr="00BB6CAA">
              <w:rPr>
                <w:rFonts w:ascii="Calibri" w:hAnsi="Calibri"/>
                <w:sz w:val="20"/>
              </w:rPr>
              <w:t>with side communications only when a deliverable is truly applicable to only one party</w:t>
            </w:r>
          </w:p>
          <w:p w14:paraId="3BAF4642" w14:textId="77777777" w:rsidR="007C2AD0" w:rsidRDefault="007C2AD0" w:rsidP="007440A5">
            <w:pPr>
              <w:rPr>
                <w:rFonts w:ascii="Calibri" w:hAnsi="Calibri"/>
                <w:sz w:val="20"/>
              </w:rPr>
            </w:pPr>
          </w:p>
          <w:p w14:paraId="4105C251" w14:textId="1153853D" w:rsidR="003536A4" w:rsidRPr="00CA0296" w:rsidRDefault="007C2AD0" w:rsidP="007440A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Introduction of research/evaluation manager within client organization creates streamlined communication path</w:t>
            </w:r>
          </w:p>
          <w:p w14:paraId="4E2722C0" w14:textId="77777777" w:rsidR="007C2AD0" w:rsidRDefault="007C2AD0" w:rsidP="007440A5">
            <w:pPr>
              <w:rPr>
                <w:rFonts w:ascii="Calibri" w:hAnsi="Calibri"/>
                <w:sz w:val="20"/>
              </w:rPr>
            </w:pPr>
          </w:p>
          <w:p w14:paraId="14FC74DF" w14:textId="4D341E3C" w:rsidR="003536A4" w:rsidRPr="00CA0296" w:rsidRDefault="003536A4" w:rsidP="007440A5">
            <w:pPr>
              <w:rPr>
                <w:rFonts w:ascii="Calibri" w:hAnsi="Calibri"/>
                <w:sz w:val="20"/>
              </w:rPr>
            </w:pPr>
            <w:r w:rsidRPr="00CA0296">
              <w:rPr>
                <w:rFonts w:ascii="Calibri" w:hAnsi="Calibri"/>
                <w:sz w:val="20"/>
              </w:rPr>
              <w:t>Have combined resea</w:t>
            </w:r>
            <w:r w:rsidR="007C2AD0">
              <w:rPr>
                <w:rFonts w:ascii="Calibri" w:hAnsi="Calibri"/>
                <w:sz w:val="20"/>
              </w:rPr>
              <w:t>rch/evaluation team meetings (first</w:t>
            </w:r>
            <w:r w:rsidRPr="00CA0296">
              <w:rPr>
                <w:rFonts w:ascii="Calibri" w:hAnsi="Calibri"/>
                <w:sz w:val="20"/>
              </w:rPr>
              <w:t xml:space="preserve"> bi-weekly, now monthly); share notes with to dos highlighted</w:t>
            </w:r>
            <w:r w:rsidR="007C2AD0">
              <w:rPr>
                <w:rFonts w:ascii="Calibri" w:hAnsi="Calibri"/>
                <w:sz w:val="20"/>
              </w:rPr>
              <w:t xml:space="preserve"> by team</w:t>
            </w:r>
          </w:p>
        </w:tc>
        <w:tc>
          <w:tcPr>
            <w:tcW w:w="4230" w:type="dxa"/>
          </w:tcPr>
          <w:p w14:paraId="3A834352" w14:textId="181ED65B" w:rsidR="0089471F" w:rsidRDefault="0089471F" w:rsidP="006927F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Having joint calls has helped ensure we’re all on the same page</w:t>
            </w:r>
          </w:p>
          <w:p w14:paraId="58BA7741" w14:textId="77777777" w:rsidR="0089471F" w:rsidRDefault="0089471F" w:rsidP="006927F7">
            <w:pPr>
              <w:rPr>
                <w:rFonts w:ascii="Calibri" w:hAnsi="Calibri"/>
                <w:sz w:val="20"/>
              </w:rPr>
            </w:pPr>
          </w:p>
          <w:p w14:paraId="341C4184" w14:textId="4BE84F9F" w:rsidR="003536A4" w:rsidRPr="00CA0296" w:rsidRDefault="0089471F" w:rsidP="0089471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However, n</w:t>
            </w:r>
            <w:r w:rsidR="006927F7" w:rsidRPr="00CA0296">
              <w:rPr>
                <w:rFonts w:ascii="Calibri" w:hAnsi="Calibri"/>
                <w:sz w:val="20"/>
              </w:rPr>
              <w:t>ot everyone participates in every meeting, so still need to communicate with rest of the evaluation &amp; research teams</w:t>
            </w:r>
          </w:p>
        </w:tc>
      </w:tr>
    </w:tbl>
    <w:p w14:paraId="04866BF7" w14:textId="6AE702C5" w:rsidR="006927F7" w:rsidRPr="008C0195" w:rsidRDefault="006927F7" w:rsidP="001666C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30"/>
        </w:rPr>
      </w:pPr>
      <w:r w:rsidRPr="00A35D41">
        <w:rPr>
          <w:rFonts w:ascii="Calibri" w:hAnsi="Calibri"/>
          <w:b/>
          <w:sz w:val="22"/>
        </w:rPr>
        <w:t>Questions for Reflection</w:t>
      </w:r>
    </w:p>
    <w:p w14:paraId="33E8A079" w14:textId="77777777" w:rsidR="00DB13B9" w:rsidRPr="00CA0296" w:rsidRDefault="00DB13B9" w:rsidP="006927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30"/>
        </w:rPr>
      </w:pPr>
      <w:r w:rsidRPr="00CA0296">
        <w:rPr>
          <w:rFonts w:ascii="Calibri" w:hAnsi="Calibri" w:cs="Calibri"/>
          <w:sz w:val="20"/>
          <w:szCs w:val="30"/>
        </w:rPr>
        <w:t>Is there anything we shared that particularly resonated with you?</w:t>
      </w:r>
    </w:p>
    <w:p w14:paraId="7E610F34" w14:textId="77777777" w:rsidR="00374611" w:rsidRPr="00CA0296" w:rsidRDefault="00DB13B9" w:rsidP="006927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30"/>
        </w:rPr>
      </w:pPr>
      <w:r w:rsidRPr="00CA0296">
        <w:rPr>
          <w:rFonts w:ascii="Calibri" w:hAnsi="Calibri" w:cs="Calibri"/>
          <w:sz w:val="20"/>
          <w:szCs w:val="30"/>
        </w:rPr>
        <w:t xml:space="preserve">Have you had any personal experience with formal or informal collaborations between social science researchers and evaluators? What was your experience like? </w:t>
      </w:r>
    </w:p>
    <w:p w14:paraId="6C914881" w14:textId="77777777" w:rsidR="00374611" w:rsidRPr="00CA0296" w:rsidRDefault="00DB13B9" w:rsidP="006927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30"/>
        </w:rPr>
      </w:pPr>
      <w:r w:rsidRPr="00CA0296">
        <w:rPr>
          <w:rFonts w:ascii="Calibri" w:hAnsi="Calibri" w:cs="Calibri"/>
          <w:sz w:val="20"/>
          <w:szCs w:val="30"/>
        </w:rPr>
        <w:t xml:space="preserve">What are </w:t>
      </w:r>
      <w:r w:rsidR="00374611" w:rsidRPr="00CA0296">
        <w:rPr>
          <w:rFonts w:ascii="Calibri" w:hAnsi="Calibri" w:cs="Calibri"/>
          <w:sz w:val="20"/>
          <w:szCs w:val="30"/>
        </w:rPr>
        <w:t xml:space="preserve">some of the </w:t>
      </w:r>
      <w:r w:rsidRPr="00CA0296">
        <w:rPr>
          <w:rFonts w:ascii="Calibri" w:hAnsi="Calibri" w:cs="Calibri"/>
          <w:sz w:val="20"/>
          <w:szCs w:val="30"/>
        </w:rPr>
        <w:t xml:space="preserve">benefits </w:t>
      </w:r>
      <w:r w:rsidR="00374611" w:rsidRPr="00CA0296">
        <w:rPr>
          <w:rFonts w:ascii="Calibri" w:hAnsi="Calibri" w:cs="Calibri"/>
          <w:sz w:val="20"/>
          <w:szCs w:val="30"/>
        </w:rPr>
        <w:t>associated with</w:t>
      </w:r>
      <w:r w:rsidR="00A35D41" w:rsidRPr="00CA0296">
        <w:rPr>
          <w:rFonts w:ascii="Calibri" w:hAnsi="Calibri" w:cs="Calibri"/>
          <w:sz w:val="20"/>
          <w:szCs w:val="30"/>
        </w:rPr>
        <w:t xml:space="preserve"> having both</w:t>
      </w:r>
      <w:r w:rsidR="00374611" w:rsidRPr="00CA0296">
        <w:rPr>
          <w:rFonts w:ascii="Calibri" w:hAnsi="Calibri" w:cs="Calibri"/>
          <w:sz w:val="20"/>
          <w:szCs w:val="30"/>
        </w:rPr>
        <w:t xml:space="preserve"> research and evaluation </w:t>
      </w:r>
      <w:r w:rsidR="00A35D41" w:rsidRPr="00CA0296">
        <w:rPr>
          <w:rFonts w:ascii="Calibri" w:hAnsi="Calibri" w:cs="Calibri"/>
          <w:sz w:val="20"/>
          <w:szCs w:val="30"/>
        </w:rPr>
        <w:t>teams on the same project?</w:t>
      </w:r>
      <w:r w:rsidRPr="00CA0296">
        <w:rPr>
          <w:rFonts w:ascii="Calibri" w:hAnsi="Calibri" w:cs="Calibri"/>
          <w:sz w:val="20"/>
          <w:szCs w:val="30"/>
        </w:rPr>
        <w:t xml:space="preserve"> </w:t>
      </w:r>
    </w:p>
    <w:p w14:paraId="1C977E91" w14:textId="77777777" w:rsidR="00DB13B9" w:rsidRPr="00CA0296" w:rsidRDefault="00374611" w:rsidP="003746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30"/>
        </w:rPr>
      </w:pPr>
      <w:r w:rsidRPr="00CA0296">
        <w:rPr>
          <w:rFonts w:ascii="Calibri" w:hAnsi="Calibri" w:cs="Calibri"/>
          <w:sz w:val="20"/>
          <w:szCs w:val="30"/>
        </w:rPr>
        <w:t>W</w:t>
      </w:r>
      <w:r w:rsidR="00A35D41" w:rsidRPr="00CA0296">
        <w:rPr>
          <w:rFonts w:ascii="Calibri" w:hAnsi="Calibri" w:cs="Calibri"/>
          <w:sz w:val="20"/>
          <w:szCs w:val="30"/>
        </w:rPr>
        <w:t>hat are some of the challenges associated with having both research and evaluation teams on the same project?</w:t>
      </w:r>
    </w:p>
    <w:p w14:paraId="1B72049D" w14:textId="22D54836" w:rsidR="005A0D78" w:rsidRPr="005A0D78" w:rsidRDefault="00DB13B9" w:rsidP="005A0D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6"/>
        <w:rPr>
          <w:rFonts w:ascii="Calibri" w:hAnsi="Calibri" w:cs="Calibri"/>
          <w:sz w:val="20"/>
          <w:szCs w:val="30"/>
        </w:rPr>
      </w:pPr>
      <w:r w:rsidRPr="00CA0296">
        <w:rPr>
          <w:rFonts w:ascii="Calibri" w:hAnsi="Calibri" w:cs="Calibri"/>
          <w:sz w:val="20"/>
          <w:szCs w:val="30"/>
        </w:rPr>
        <w:t xml:space="preserve">Social science researchers and evaluators often bring different theories to bear when designing data collection and </w:t>
      </w:r>
      <w:r w:rsidR="00A35D41" w:rsidRPr="00CA0296">
        <w:rPr>
          <w:rFonts w:ascii="Calibri" w:hAnsi="Calibri" w:cs="Calibri"/>
          <w:sz w:val="20"/>
          <w:szCs w:val="30"/>
        </w:rPr>
        <w:t>analyzing data</w:t>
      </w:r>
      <w:r w:rsidRPr="00CA0296">
        <w:rPr>
          <w:rFonts w:ascii="Calibri" w:hAnsi="Calibri" w:cs="Calibri"/>
          <w:sz w:val="20"/>
          <w:szCs w:val="30"/>
        </w:rPr>
        <w:t>. In what ways might these differing theories be complementary? How might they interfere with one another?</w:t>
      </w:r>
      <w:r w:rsidR="005A0D78" w:rsidRPr="005A0D78">
        <w:rPr>
          <w:rFonts w:ascii="Calibri" w:hAnsi="Calibri" w:cs="Calibri"/>
          <w:sz w:val="20"/>
          <w:szCs w:val="30"/>
        </w:rPr>
        <w:t xml:space="preserve"> In what ways might evaluators and researchers develop strategies for analysis that support cooperation?</w:t>
      </w:r>
    </w:p>
    <w:p w14:paraId="624D71E7" w14:textId="77777777" w:rsidR="00CF262C" w:rsidRPr="00CA0296" w:rsidRDefault="00DB13B9" w:rsidP="006927F7">
      <w:pPr>
        <w:pStyle w:val="ListParagraph"/>
        <w:numPr>
          <w:ilvl w:val="0"/>
          <w:numId w:val="1"/>
        </w:numPr>
        <w:rPr>
          <w:rFonts w:ascii="Calibri" w:hAnsi="Calibri"/>
          <w:sz w:val="20"/>
        </w:rPr>
      </w:pPr>
      <w:r w:rsidRPr="00CA0296">
        <w:rPr>
          <w:rFonts w:ascii="Calibri" w:hAnsi="Calibri" w:cs="Calibri"/>
          <w:sz w:val="20"/>
          <w:szCs w:val="30"/>
        </w:rPr>
        <w:t xml:space="preserve">What strategies have you found useful when communicating findings, particularly when research and evaluation are </w:t>
      </w:r>
      <w:r w:rsidR="00A35D41" w:rsidRPr="00CA0296">
        <w:rPr>
          <w:rFonts w:ascii="Calibri" w:hAnsi="Calibri" w:cs="Calibri"/>
          <w:sz w:val="20"/>
          <w:szCs w:val="30"/>
        </w:rPr>
        <w:t xml:space="preserve">both </w:t>
      </w:r>
      <w:r w:rsidRPr="00CA0296">
        <w:rPr>
          <w:rFonts w:ascii="Calibri" w:hAnsi="Calibri" w:cs="Calibri"/>
          <w:sz w:val="20"/>
          <w:szCs w:val="30"/>
        </w:rPr>
        <w:t>taking place?</w:t>
      </w:r>
    </w:p>
    <w:p w14:paraId="5017A307" w14:textId="77777777" w:rsidR="00CF262C" w:rsidRPr="00CA0296" w:rsidRDefault="00CF262C" w:rsidP="00CF262C">
      <w:pPr>
        <w:rPr>
          <w:rFonts w:ascii="Calibri" w:hAnsi="Calibri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2389"/>
        <w:gridCol w:w="3216"/>
        <w:gridCol w:w="2843"/>
      </w:tblGrid>
      <w:tr w:rsidR="00786A90" w14:paraId="4691EC37" w14:textId="77777777" w:rsidTr="007C2AD0">
        <w:tc>
          <w:tcPr>
            <w:tcW w:w="2568" w:type="dxa"/>
          </w:tcPr>
          <w:p w14:paraId="3C127BC0" w14:textId="77777777" w:rsidR="00786A90" w:rsidRPr="00CA0296" w:rsidRDefault="00786A90" w:rsidP="00786A90">
            <w:pPr>
              <w:rPr>
                <w:rFonts w:ascii="Calibri" w:hAnsi="Calibri"/>
                <w:sz w:val="20"/>
              </w:rPr>
            </w:pPr>
            <w:r w:rsidRPr="00CA0296">
              <w:rPr>
                <w:rFonts w:ascii="Calibri" w:hAnsi="Calibri"/>
                <w:sz w:val="20"/>
              </w:rPr>
              <w:t>Ginger Fitzhugh</w:t>
            </w:r>
          </w:p>
          <w:p w14:paraId="35AA5EA8" w14:textId="39F06B03" w:rsidR="00786A90" w:rsidRDefault="00C24AF0" w:rsidP="001E02CF">
            <w:pPr>
              <w:rPr>
                <w:rFonts w:ascii="Calibri" w:hAnsi="Calibri"/>
                <w:sz w:val="20"/>
              </w:rPr>
            </w:pPr>
            <w:hyperlink r:id="rId5" w:history="1">
              <w:r w:rsidR="001E02CF" w:rsidRPr="002E24EB">
                <w:rPr>
                  <w:rStyle w:val="Hyperlink"/>
                  <w:rFonts w:ascii="Calibri" w:hAnsi="Calibri"/>
                  <w:sz w:val="20"/>
                </w:rPr>
                <w:t>gfitzhugh@edc.org</w:t>
              </w:r>
            </w:hyperlink>
          </w:p>
        </w:tc>
        <w:tc>
          <w:tcPr>
            <w:tcW w:w="2389" w:type="dxa"/>
          </w:tcPr>
          <w:p w14:paraId="6128AA65" w14:textId="77777777" w:rsidR="00786A90" w:rsidRPr="00CA0296" w:rsidRDefault="00786A90" w:rsidP="00786A90">
            <w:pPr>
              <w:rPr>
                <w:rFonts w:ascii="Calibri" w:hAnsi="Calibri"/>
                <w:sz w:val="20"/>
              </w:rPr>
            </w:pPr>
            <w:r w:rsidRPr="00CA0296">
              <w:rPr>
                <w:rFonts w:ascii="Calibri" w:hAnsi="Calibri"/>
                <w:sz w:val="20"/>
              </w:rPr>
              <w:t>Sarah Hug</w:t>
            </w:r>
          </w:p>
          <w:p w14:paraId="63FE1E2F" w14:textId="431A16F0" w:rsidR="00786A90" w:rsidRPr="00786A90" w:rsidRDefault="00C24AF0" w:rsidP="00CF262C">
            <w:pPr>
              <w:rPr>
                <w:rFonts w:ascii="Calibri" w:hAnsi="Calibri"/>
                <w:sz w:val="20"/>
                <w:szCs w:val="20"/>
              </w:rPr>
            </w:pPr>
            <w:hyperlink r:id="rId6" w:history="1">
              <w:r w:rsidR="00786A90" w:rsidRPr="005D64C9">
                <w:rPr>
                  <w:rStyle w:val="Hyperlink"/>
                  <w:rFonts w:ascii="Calibri" w:hAnsi="Calibri"/>
                  <w:sz w:val="20"/>
                  <w:szCs w:val="20"/>
                </w:rPr>
                <w:t>hug@colorado.edu</w:t>
              </w:r>
            </w:hyperlink>
          </w:p>
        </w:tc>
        <w:tc>
          <w:tcPr>
            <w:tcW w:w="3216" w:type="dxa"/>
          </w:tcPr>
          <w:p w14:paraId="27B080ED" w14:textId="77777777" w:rsidR="00786A90" w:rsidRPr="005D64C9" w:rsidRDefault="00786A90" w:rsidP="00786A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D64C9">
              <w:rPr>
                <w:rFonts w:ascii="Calibri" w:hAnsi="Calibri"/>
                <w:color w:val="000000"/>
                <w:sz w:val="20"/>
                <w:szCs w:val="20"/>
              </w:rPr>
              <w:t>Suzanne Eyerman</w:t>
            </w:r>
          </w:p>
          <w:p w14:paraId="26D8D209" w14:textId="20D8FB0B" w:rsidR="00786A90" w:rsidRPr="00786A90" w:rsidRDefault="00C24AF0" w:rsidP="00786A9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7" w:history="1">
              <w:r w:rsidR="00786A90" w:rsidRPr="005D64C9">
                <w:rPr>
                  <w:rStyle w:val="Hyperlink"/>
                  <w:rFonts w:ascii="Calibri" w:hAnsi="Calibri"/>
                  <w:sz w:val="20"/>
                  <w:szCs w:val="20"/>
                </w:rPr>
                <w:t>Suzanne.Eyerman@Colorado.EDU</w:t>
              </w:r>
            </w:hyperlink>
          </w:p>
        </w:tc>
        <w:tc>
          <w:tcPr>
            <w:tcW w:w="2843" w:type="dxa"/>
          </w:tcPr>
          <w:p w14:paraId="04675471" w14:textId="77777777" w:rsidR="00786A90" w:rsidRPr="005D64C9" w:rsidRDefault="00786A90" w:rsidP="00786A9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D64C9">
              <w:rPr>
                <w:rFonts w:ascii="Calibri" w:hAnsi="Calibri"/>
                <w:color w:val="000000"/>
                <w:sz w:val="20"/>
                <w:szCs w:val="20"/>
              </w:rPr>
              <w:t>Heather Thiry</w:t>
            </w:r>
          </w:p>
          <w:p w14:paraId="603D0C3B" w14:textId="77777777" w:rsidR="00786A90" w:rsidRDefault="00C24AF0" w:rsidP="00786A90">
            <w:pPr>
              <w:pStyle w:val="NormalWeb"/>
              <w:spacing w:before="0" w:beforeAutospacing="0" w:after="0" w:afterAutospacing="0"/>
              <w:rPr>
                <w:rStyle w:val="Hyperlink"/>
                <w:rFonts w:ascii="Calibri" w:hAnsi="Calibri"/>
                <w:sz w:val="20"/>
                <w:szCs w:val="20"/>
              </w:rPr>
            </w:pPr>
            <w:hyperlink r:id="rId8" w:history="1">
              <w:r w:rsidR="00786A90" w:rsidRPr="005D64C9">
                <w:rPr>
                  <w:rStyle w:val="Hyperlink"/>
                  <w:rFonts w:ascii="Calibri" w:hAnsi="Calibri"/>
                  <w:sz w:val="20"/>
                  <w:szCs w:val="20"/>
                </w:rPr>
                <w:t>heather.thiry@colorado.edu</w:t>
              </w:r>
            </w:hyperlink>
          </w:p>
          <w:p w14:paraId="210B112C" w14:textId="77777777" w:rsidR="00C24AF0" w:rsidRDefault="00C24AF0" w:rsidP="00786A90">
            <w:pPr>
              <w:pStyle w:val="NormalWeb"/>
              <w:spacing w:before="0" w:beforeAutospacing="0" w:after="0" w:afterAutospacing="0"/>
              <w:rPr>
                <w:rStyle w:val="Hyperlink"/>
                <w:rFonts w:ascii="Calibri" w:hAnsi="Calibri"/>
                <w:sz w:val="20"/>
                <w:szCs w:val="20"/>
              </w:rPr>
            </w:pPr>
          </w:p>
          <w:p w14:paraId="409E8160" w14:textId="77777777" w:rsidR="00C24AF0" w:rsidRDefault="00C24AF0" w:rsidP="00786A90">
            <w:pPr>
              <w:pStyle w:val="NormalWeb"/>
              <w:spacing w:before="0" w:beforeAutospacing="0" w:after="0" w:afterAutospacing="0"/>
              <w:rPr>
                <w:rStyle w:val="Hyperlink"/>
                <w:rFonts w:ascii="Calibri" w:hAnsi="Calibri"/>
                <w:sz w:val="20"/>
                <w:szCs w:val="20"/>
              </w:rPr>
            </w:pPr>
          </w:p>
          <w:p w14:paraId="1BD62927" w14:textId="77777777" w:rsidR="00C24AF0" w:rsidRDefault="00C24AF0" w:rsidP="00786A90">
            <w:pPr>
              <w:pStyle w:val="NormalWeb"/>
              <w:spacing w:before="0" w:beforeAutospacing="0" w:after="0" w:afterAutospacing="0"/>
              <w:rPr>
                <w:rStyle w:val="Hyperlink"/>
                <w:rFonts w:ascii="Calibri" w:hAnsi="Calibri"/>
                <w:sz w:val="20"/>
                <w:szCs w:val="20"/>
              </w:rPr>
            </w:pPr>
          </w:p>
          <w:p w14:paraId="01F57884" w14:textId="77777777" w:rsidR="00C24AF0" w:rsidRDefault="00C24AF0" w:rsidP="00786A90">
            <w:pPr>
              <w:pStyle w:val="NormalWeb"/>
              <w:spacing w:before="0" w:beforeAutospacing="0" w:after="0" w:afterAutospacing="0"/>
              <w:rPr>
                <w:rStyle w:val="Hyperlink"/>
                <w:rFonts w:ascii="Calibri" w:hAnsi="Calibri"/>
                <w:sz w:val="20"/>
                <w:szCs w:val="20"/>
              </w:rPr>
            </w:pPr>
          </w:p>
          <w:p w14:paraId="66FE5864" w14:textId="43C869B7" w:rsidR="00C24AF0" w:rsidRPr="00786A90" w:rsidRDefault="00C24AF0" w:rsidP="00786A9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5D7272D" w14:textId="77777777" w:rsidR="00786A90" w:rsidRDefault="00786A90" w:rsidP="001666C8">
      <w:pPr>
        <w:rPr>
          <w:rFonts w:ascii="Calibri" w:hAnsi="Calibri"/>
          <w:sz w:val="8"/>
        </w:rPr>
      </w:pPr>
    </w:p>
    <w:p w14:paraId="411D0E09" w14:textId="77777777" w:rsidR="00C24AF0" w:rsidRDefault="00C24AF0" w:rsidP="001666C8">
      <w:pPr>
        <w:rPr>
          <w:rFonts w:ascii="Calibri" w:hAnsi="Calibri"/>
          <w:sz w:val="8"/>
        </w:rPr>
      </w:pPr>
    </w:p>
    <w:p w14:paraId="2D6BB9FB" w14:textId="323BF398" w:rsidR="00C24AF0" w:rsidRDefault="00C24AF0" w:rsidP="00C24AF0">
      <w:r>
        <w:t xml:space="preserve">Notes: </w:t>
      </w:r>
    </w:p>
    <w:p w14:paraId="18CAAC2D" w14:textId="77777777" w:rsidR="00C24AF0" w:rsidRDefault="00C24AF0" w:rsidP="00C24AF0"/>
    <w:p w14:paraId="4A84B65C" w14:textId="0A02D856" w:rsidR="00C24AF0" w:rsidRDefault="00C24AF0" w:rsidP="00C24AF0">
      <w:pPr>
        <w:rPr>
          <w:sz w:val="22"/>
          <w:szCs w:val="22"/>
        </w:rPr>
      </w:pPr>
      <w:r>
        <w:t>The i</w:t>
      </w:r>
      <w:r>
        <w:t xml:space="preserve">ntersection between evaluation and research is complicated: some </w:t>
      </w:r>
      <w:r>
        <w:t xml:space="preserve">audience members </w:t>
      </w:r>
      <w:r>
        <w:t>do research on evaluation, some are evaluators doing research, and some can be the evaluator and researcher on a project.</w:t>
      </w:r>
    </w:p>
    <w:p w14:paraId="6054B173" w14:textId="200DB9B5" w:rsidR="00C24AF0" w:rsidRDefault="00C24AF0" w:rsidP="00C24AF0">
      <w:r>
        <w:t>Design-based implementation research or applied research can look like evaluation and have similar purposes. NSF and IES are willing to fund “research” that is made up</w:t>
      </w:r>
      <w:r>
        <w:t xml:space="preserve"> of an iterative design where researchers </w:t>
      </w:r>
      <w:r>
        <w:t xml:space="preserve">collect data to help inform a program and make program decisions. </w:t>
      </w:r>
      <w:r>
        <w:t>TO the evaluators, this sounds very much like formative evaluation feedback.</w:t>
      </w:r>
    </w:p>
    <w:p w14:paraId="2C28744D" w14:textId="77777777" w:rsidR="00C24AF0" w:rsidRDefault="00C24AF0" w:rsidP="00C24AF0">
      <w:pPr>
        <w:rPr>
          <w:color w:val="1F497D"/>
        </w:rPr>
      </w:pPr>
    </w:p>
    <w:p w14:paraId="27027A8D" w14:textId="396DA0BD" w:rsidR="00C24AF0" w:rsidRDefault="00C24AF0" w:rsidP="00C24AF0">
      <w:r>
        <w:t>There are b</w:t>
      </w:r>
      <w:r>
        <w:t>lurred lines between evaluation and research. For ex</w:t>
      </w:r>
      <w:r>
        <w:t>ample</w:t>
      </w:r>
      <w:r>
        <w:t xml:space="preserve">, </w:t>
      </w:r>
      <w:r>
        <w:t xml:space="preserve">some </w:t>
      </w:r>
      <w:r>
        <w:t>IRB</w:t>
      </w:r>
      <w:r>
        <w:t>s consider studies research if findings are</w:t>
      </w:r>
      <w:bookmarkStart w:id="0" w:name="_GoBack"/>
      <w:bookmarkEnd w:id="0"/>
      <w:r>
        <w:t xml:space="preserve"> generalizable (but evaluations can be, while researcher is not necessarily so)</w:t>
      </w:r>
    </w:p>
    <w:p w14:paraId="25243F21" w14:textId="50BD7BAD" w:rsidR="00C24AF0" w:rsidRDefault="00C24AF0" w:rsidP="00C24AF0">
      <w:pPr>
        <w:ind w:left="720"/>
      </w:pPr>
      <w:r>
        <w:t xml:space="preserve">For an audience member who serves on </w:t>
      </w:r>
      <w:r>
        <w:t xml:space="preserve">an IRB at her institution: </w:t>
      </w:r>
      <w:r>
        <w:t>“</w:t>
      </w:r>
      <w:r>
        <w:t>If it’s meant to be disseminated to the public, it’s research.</w:t>
      </w:r>
      <w:r>
        <w:t>”</w:t>
      </w:r>
      <w:r>
        <w:t xml:space="preserve"> </w:t>
      </w:r>
    </w:p>
    <w:p w14:paraId="7A968889" w14:textId="77777777" w:rsidR="00C24AF0" w:rsidRDefault="00C24AF0" w:rsidP="00C24AF0">
      <w:pPr>
        <w:ind w:left="720"/>
      </w:pPr>
      <w:r>
        <w:t>Research can be about value and worth of an approach (not necessarily of a program)</w:t>
      </w:r>
    </w:p>
    <w:p w14:paraId="7C00EEC5" w14:textId="103E8A98" w:rsidR="00C24AF0" w:rsidRDefault="00C24AF0" w:rsidP="00C24AF0">
      <w:pPr>
        <w:ind w:firstLine="720"/>
      </w:pPr>
      <w:r>
        <w:t>Evaluation has a client and stakeholders</w:t>
      </w:r>
      <w:r>
        <w:t xml:space="preserve"> while research may not.</w:t>
      </w:r>
    </w:p>
    <w:p w14:paraId="4AD4F746" w14:textId="77777777" w:rsidR="00C24AF0" w:rsidRDefault="00C24AF0" w:rsidP="00C24AF0">
      <w:pPr>
        <w:rPr>
          <w:color w:val="1F497D"/>
        </w:rPr>
      </w:pPr>
    </w:p>
    <w:p w14:paraId="671F0E12" w14:textId="4B769A64" w:rsidR="00C24AF0" w:rsidRDefault="00C24AF0" w:rsidP="00C24AF0">
      <w:r>
        <w:t xml:space="preserve">An audience member brought up a potential topic for Year 3- </w:t>
      </w:r>
      <w:r>
        <w:t xml:space="preserve">Find agency folks that came up with these guidelines </w:t>
      </w:r>
      <w:r>
        <w:t xml:space="preserve">to differentiate research and evaluation </w:t>
      </w:r>
      <w:r>
        <w:t xml:space="preserve">so we </w:t>
      </w:r>
      <w:r>
        <w:t>can hear how those were created and how they are being interpreted.</w:t>
      </w:r>
    </w:p>
    <w:p w14:paraId="12B03DF3" w14:textId="77777777" w:rsidR="00C24AF0" w:rsidRPr="001666C8" w:rsidRDefault="00C24AF0" w:rsidP="001666C8">
      <w:pPr>
        <w:rPr>
          <w:rFonts w:ascii="Calibri" w:hAnsi="Calibri"/>
          <w:sz w:val="8"/>
        </w:rPr>
      </w:pPr>
    </w:p>
    <w:sectPr w:rsidR="00C24AF0" w:rsidRPr="001666C8" w:rsidSect="00C031E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4727A"/>
    <w:multiLevelType w:val="hybridMultilevel"/>
    <w:tmpl w:val="F360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A5"/>
    <w:rsid w:val="000804C1"/>
    <w:rsid w:val="001666C8"/>
    <w:rsid w:val="001A754D"/>
    <w:rsid w:val="001E02CF"/>
    <w:rsid w:val="00254F52"/>
    <w:rsid w:val="002829C8"/>
    <w:rsid w:val="002958EC"/>
    <w:rsid w:val="003536A4"/>
    <w:rsid w:val="00374611"/>
    <w:rsid w:val="0038521B"/>
    <w:rsid w:val="003B2C94"/>
    <w:rsid w:val="005A0D78"/>
    <w:rsid w:val="005D64C9"/>
    <w:rsid w:val="00660B76"/>
    <w:rsid w:val="006927F7"/>
    <w:rsid w:val="007440A5"/>
    <w:rsid w:val="007545F1"/>
    <w:rsid w:val="00786A90"/>
    <w:rsid w:val="007C2AD0"/>
    <w:rsid w:val="0089471F"/>
    <w:rsid w:val="008C0195"/>
    <w:rsid w:val="00A35D41"/>
    <w:rsid w:val="00B41209"/>
    <w:rsid w:val="00BB6CAA"/>
    <w:rsid w:val="00BE4BB0"/>
    <w:rsid w:val="00C031E9"/>
    <w:rsid w:val="00C24AF0"/>
    <w:rsid w:val="00C25FA7"/>
    <w:rsid w:val="00CA0296"/>
    <w:rsid w:val="00CF262C"/>
    <w:rsid w:val="00D400F0"/>
    <w:rsid w:val="00D628AD"/>
    <w:rsid w:val="00DA0A2B"/>
    <w:rsid w:val="00DB13B9"/>
    <w:rsid w:val="00DC2CC4"/>
    <w:rsid w:val="00F84F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45480B"/>
  <w15:docId w15:val="{71D71C28-D560-4D52-B50F-D9849BE3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0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2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2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2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21B"/>
    <w:rPr>
      <w:b/>
      <w:bCs/>
    </w:rPr>
  </w:style>
  <w:style w:type="paragraph" w:styleId="NormalWeb">
    <w:name w:val="Normal (Web)"/>
    <w:basedOn w:val="Normal"/>
    <w:uiPriority w:val="99"/>
    <w:unhideWhenUsed/>
    <w:rsid w:val="005D64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thiry@colorad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anne.Eyerman@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g@colorado.edu" TargetMode="External"/><Relationship Id="rId5" Type="http://schemas.openxmlformats.org/officeDocument/2006/relationships/hyperlink" Target="mailto:gfitzhugh@ed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Fitzhugh</dc:creator>
  <cp:lastModifiedBy>sarah hug</cp:lastModifiedBy>
  <cp:revision>2</cp:revision>
  <dcterms:created xsi:type="dcterms:W3CDTF">2015-12-08T17:30:00Z</dcterms:created>
  <dcterms:modified xsi:type="dcterms:W3CDTF">2015-12-08T17:30:00Z</dcterms:modified>
</cp:coreProperties>
</file>